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920" w:after="160"/>
        <w:jc w:val="center"/>
      </w:pPr>
      <w:r>
        <w:rPr>
          <w:rFonts w:ascii="Times New Roman" w:hAnsi="Times New Roman" w:eastAsia="Microsoft YaHei"/>
          <w:b/>
          <w:color w:val="47241F"/>
          <w:sz w:val="48"/>
        </w:rPr>
        <w:t>从劝善结社到跨族群伦理网络</w:t>
      </w:r>
    </w:p>
    <w:p>
      <w:pPr>
        <w:spacing w:after="560"/>
        <w:jc w:val="center"/>
      </w:pPr>
      <w:r>
        <w:rPr>
          <w:rFonts w:ascii="Times New Roman" w:hAnsi="Times New Roman" w:eastAsia="Microsoft YaHei"/>
          <w:b w:val="0"/>
          <w:color w:val="75483F"/>
          <w:sz w:val="30"/>
        </w:rPr>
        <w:t>德教文化在东盟社会的历史生成、制度适应与当代价值</w:t>
      </w:r>
    </w:p>
    <w:p>
      <w:pPr>
        <w:spacing w:after="80"/>
        <w:jc w:val="center"/>
      </w:pPr>
      <w:r>
        <w:rPr>
          <w:rFonts w:ascii="Times New Roman" w:hAnsi="Times New Roman" w:eastAsia="Microsoft YaHei"/>
          <w:b/>
          <w:color w:val="777777"/>
          <w:sz w:val="22"/>
        </w:rPr>
        <w:t>研究论文初稿</w:t>
      </w:r>
    </w:p>
    <w:p>
      <w:pPr>
        <w:spacing w:after="840"/>
        <w:jc w:val="center"/>
      </w:pPr>
      <w:r>
        <w:rPr>
          <w:rFonts w:ascii="Times New Roman" w:hAnsi="Times New Roman" w:eastAsia="Microsoft YaHei"/>
          <w:b w:val="0"/>
          <w:color w:val="777777"/>
          <w:sz w:val="20"/>
        </w:rPr>
        <w:t>2026年8月</w:t>
      </w:r>
    </w:p>
    <w:p>
      <w:pPr>
        <w:pStyle w:val="Heading1"/>
      </w:pPr>
      <w:r>
        <w:t>摘要</w:t>
      </w:r>
    </w:p>
    <w:p>
      <w:pPr>
        <w:ind w:firstLine="403"/>
      </w:pPr>
      <w:r>
        <w:rPr>
          <w:rFonts w:ascii="Times New Roman" w:hAnsi="Times New Roman" w:eastAsia="SimSun"/>
          <w:b w:val="0"/>
          <w:color w:val="222222"/>
          <w:sz w:val="21"/>
        </w:rPr>
        <w:t>本文讨论一个长期处于宗教史、华侨史与慈善史交界、却尚未被充分概念化的问题：发源于潮汕地区的德教，何以在第二次世界大战后主要成长于东南亚，并在新加坡、马来西亚、泰国等不同国家制度中持续存在？文章避免把德教简单描述为“五教合一”的思想体系，也不把其海外传播等同于中华文化的线性扩散，而提出“伦理—慈善双重公共化”的解释。德教以扶乩训文、十章八则和多教圣贤崇奉构成伦理秩序，以赈灾、赠医施药、助学、养老与收殓等行动取得社会可见性；进入东南亚后，其宗教表达、法人身份和公益功能又分别受到当地国家治理、宗教结构与华人社会组织方式的塑造。由此，德教不是一套未经改变而被移植的教义，而是一种能够在信仰共同体、慈善法人和跨国社团网络之间转换的组织形态。本文以1939年前后潮汕德教初兴、1940年代香港及东南亚传播、1950年代泰国与马来亚组织化，以及当代区域网络为关键节点，比较“侨乡文化移植”“商人网络扩张”“宗教适应”“慈善公共化”四种解释。结论认为：德教的历史价值在于保存并重组了中国民间劝善传统、战乱救济经验与海外华人结社能力；其当代意义则不在于提供统一神学，而在于以低排他性的伦理语言和可验证的公益实践，为东盟多宗教社会提供一种民间层面的合作机制。但这种价值能否延续，取决于其能否完成文本现代化、治理透明化、青年参与和跨族群服务，而不能仅依靠仪式传统与华人内部网络。</w:t>
      </w:r>
    </w:p>
    <w:p>
      <w:pPr>
        <w:spacing w:before="120"/>
        <w:ind w:firstLine="0"/>
      </w:pPr>
      <w:r>
        <w:rPr>
          <w:rFonts w:ascii="Times New Roman" w:hAnsi="Times New Roman" w:eastAsia="SimSun"/>
          <w:b w:val="0"/>
          <w:color w:val="222222"/>
          <w:sz w:val="21"/>
        </w:rPr>
        <w:t>关键词：德教；东盟；东南亚华人；善堂；慈善；五教同尊；跨国宗教；公共伦理</w:t>
      </w:r>
    </w:p>
    <w:p>
      <w:pPr>
        <w:pStyle w:val="Heading1"/>
      </w:pPr>
      <w:r>
        <w:t>一、问题：德教为何在东南亚获得第二次生命</w:t>
      </w:r>
    </w:p>
    <w:p>
      <w:pPr>
        <w:ind w:firstLine="403"/>
      </w:pPr>
      <w:r>
        <w:rPr>
          <w:rFonts w:ascii="Times New Roman" w:hAnsi="Times New Roman" w:eastAsia="SimSun"/>
          <w:b w:val="0"/>
          <w:color w:val="222222"/>
          <w:sz w:val="21"/>
        </w:rPr>
        <w:t>德教的形成与传播呈现出一个值得解释的历史反差：它起源于中国潮汕，却在第二次世界大战后于泰国、马来亚、新加坡等地形成更稳定、更广泛的组织网络，并由海外反向连接香港、台湾及改革开放后的中国。若只以“中华文化随移民南传”解释，无法说明为何同样南传的诸多民间教门没有获得相近的制度生命；若只强调潮商捐资，也无法解释德教为何能够同时维持宗教仪式、道德训育与长期慈善。真正的问题不是德教是否具有中华文化属性，而是：它具有什么可转移的组织能力，使其能够穿越国家边界，并在不同政治与宗教环境中被重新合法化？</w:t>
      </w:r>
    </w:p>
    <w:p>
      <w:pPr>
        <w:ind w:firstLine="403"/>
      </w:pPr>
      <w:r>
        <w:rPr>
          <w:rFonts w:ascii="Times New Roman" w:hAnsi="Times New Roman" w:eastAsia="SimSun"/>
          <w:b w:val="0"/>
          <w:color w:val="222222"/>
          <w:sz w:val="21"/>
        </w:rPr>
        <w:t>本文将德教视为一种兼具信仰、伦理与公益属性的现代结社，而非边界固定的单一宗派。其基本特征包括：以“德”为最高规范，以孝、悌、忠、信、礼、义、廉、耻、仁、智等德目塑造个人；通过扶乩、经典、纪念日和圣贤崇奉维系神圣秩序；以儒、释、道为深层文化资源，同时吸纳基督教与伊斯兰教的象征，形成“五教同尊”或“五教共源”的自我理解；并以善堂式慈善回应疾病、贫困、灾害与死亡。四者并非在各地等量存在，恰恰是它们可以被重新组合，构成德教的适应能力。</w:t>
      </w:r>
    </w:p>
    <w:p>
      <w:pPr>
        <w:ind w:firstLine="403"/>
      </w:pPr>
      <w:r>
        <w:rPr>
          <w:rFonts w:ascii="Times New Roman" w:hAnsi="Times New Roman" w:eastAsia="SimSun"/>
          <w:b w:val="0"/>
          <w:color w:val="222222"/>
          <w:sz w:val="21"/>
        </w:rPr>
        <w:t>本文的核心论点是：德教在东盟社会的持久性，来自“伦理—慈善双重公共化”。伦理公共化使以华人宗教语汇表达的德目，可以被转译为家庭责任、诚信、互助、节制和社会关怀；慈善公共化则把信仰从内部仪式转化为面向社会的服务。国家可以不承认一种新宗教的独立教义，却可以承认慈善团体；非华人未必接受扶乩传统，却可以参与救灾、医疗与助学。德教因而在信仰边界之外形成公共接口。</w:t>
      </w:r>
    </w:p>
    <w:p>
      <w:pPr>
        <w:pStyle w:val="Heading1"/>
      </w:pPr>
      <w:r>
        <w:t>二、文献对话：宗教运动、潮人网络与慈善组织</w:t>
      </w:r>
    </w:p>
    <w:p>
      <w:pPr>
        <w:ind w:firstLine="403"/>
      </w:pPr>
      <w:r>
        <w:rPr>
          <w:rFonts w:ascii="Times New Roman" w:hAnsi="Times New Roman" w:eastAsia="SimSun"/>
          <w:b w:val="0"/>
          <w:color w:val="222222"/>
          <w:sz w:val="21"/>
        </w:rPr>
        <w:t>既有研究大体形成三条路径。第一条把德教置于中国民间宗教与扶乩传统中。吉原和男较早系统梳理德教从潮州向香港、泰国及马来亚传播的过程，指出扶乩训示、善堂慈善和潮人社群构成其组织基础。Bernard Formoso进一步通过多点民族志，把德教解释为全球化时代的中国宗教运动，强调其组织方式与海外华商的管理习惯、企业家精神以及对中华文明的投射性认同。此一路径有助于理解仪式和信仰，却容易把公共服务视为宗教的附属结果。</w:t>
      </w:r>
    </w:p>
    <w:p>
      <w:pPr>
        <w:ind w:firstLine="403"/>
      </w:pPr>
      <w:r>
        <w:rPr>
          <w:rFonts w:ascii="Times New Roman" w:hAnsi="Times New Roman" w:eastAsia="SimSun"/>
          <w:b w:val="0"/>
          <w:color w:val="222222"/>
          <w:sz w:val="21"/>
        </w:rPr>
        <w:t>第二条路径关注海外华人结社与跨国网络。陈志明关于马来西亚和新加坡德教会分布的研究，以及黄蕴关于德教跨国发展与网络延伸的讨论，说明德教并非由一个中央教会向外复制，而是通过人际引介、香火与训文联系、阁际访问、筹款和区域总会形成多中心网络。这种结构减少了单一中心崩溃带来的风险，也容许不同国家的德教组织采取不同法人和仪式形式。</w:t>
      </w:r>
    </w:p>
    <w:p>
      <w:pPr>
        <w:ind w:firstLine="403"/>
      </w:pPr>
      <w:r>
        <w:rPr>
          <w:rFonts w:ascii="Times New Roman" w:hAnsi="Times New Roman" w:eastAsia="SimSun"/>
          <w:b w:val="0"/>
          <w:color w:val="222222"/>
          <w:sz w:val="21"/>
        </w:rPr>
        <w:t>第三条路径从潮人善堂与慈善传统切入。相关研究指出，潮汕及海外善堂长期兼具信仰与慈善功能，服务由施棺赠葬、赠医施药、赈灾恤难逐渐扩展至教育、养老和社会福利。但必须区分：德教会可以采用“善堂”名义和善堂实践，潮人善堂却不必属于德教；大峰祖师信仰、念佛社与德教扶乩传统之间存在交叠而非同一关系。若将两者完全合并，会夸大德教的历史纵深；若完全切开，又会忽略德教得以迅速公共化的地方文化基础。</w:t>
      </w:r>
    </w:p>
    <w:p>
      <w:pPr>
        <w:ind w:firstLine="403"/>
      </w:pPr>
      <w:r>
        <w:rPr>
          <w:rFonts w:ascii="Times New Roman" w:hAnsi="Times New Roman" w:eastAsia="SimSun"/>
          <w:b w:val="0"/>
          <w:color w:val="222222"/>
          <w:sz w:val="21"/>
        </w:rPr>
        <w:t>上述研究已经说明德教从何而来、传播到哪里，却仍留下一个解释缺口：为何同一套宗教资源在不同东盟国家能够获得不同的合法身份，同时维持最低限度的共同认同？本文把分析单位从抽象“教义”转向“伦理表达—组织形式—公共服务”的组合，考察其如何适应国家制度。</w:t>
      </w:r>
    </w:p>
    <w:p>
      <w:pPr>
        <w:pStyle w:val="Heading1"/>
      </w:pPr>
      <w:r>
        <w:t>三、概念与机制：伦理—慈善双重公共化</w:t>
      </w:r>
    </w:p>
    <w:p>
      <w:pPr>
        <w:ind w:firstLine="403"/>
      </w:pPr>
      <w:r>
        <w:rPr>
          <w:rFonts w:ascii="Times New Roman" w:hAnsi="Times New Roman" w:eastAsia="SimSun"/>
          <w:b w:val="0"/>
          <w:color w:val="222222"/>
          <w:sz w:val="21"/>
        </w:rPr>
        <w:t>所谓“公共化”，并不等于世俗化或去宗教化，而是指一种社群传统获得超越内部成员的可理解性、可参与性和可问责性。德教的公共化包含四个机制。</w:t>
      </w:r>
    </w:p>
    <w:p>
      <w:pPr>
        <w:ind w:firstLine="403"/>
      </w:pPr>
      <w:r>
        <w:rPr>
          <w:rFonts w:ascii="Times New Roman" w:hAnsi="Times New Roman" w:eastAsia="SimSun"/>
          <w:b w:val="0"/>
          <w:color w:val="222222"/>
          <w:sz w:val="21"/>
        </w:rPr>
        <w:t>第一，伦理转译。十章八则等规范源自传统修身与劝善语言，但孝亲、守信、廉耻、仁爱和责任可以被转译为家庭伦理、公民品格、商业诚信与志愿服务。转译并不取消经典来源，而是使其在不同信仰者之间具备共同讨论的可能。</w:t>
      </w:r>
    </w:p>
    <w:p>
      <w:pPr>
        <w:ind w:firstLine="403"/>
      </w:pPr>
      <w:r>
        <w:rPr>
          <w:rFonts w:ascii="Times New Roman" w:hAnsi="Times New Roman" w:eastAsia="SimSun"/>
          <w:b w:val="0"/>
          <w:color w:val="222222"/>
          <w:sz w:val="21"/>
        </w:rPr>
        <w:t>第二，慈善证明。德教组织通过医疗、救灾、助学、养老、殡葬等可观察行动，把“德”从宣讲转化为社会绩效。慈善不仅是善果，也是组织合法性的生产机制：政府据此注册和监管，捐赠者据此建立信任，公众据此判断组织价值。</w:t>
      </w:r>
    </w:p>
    <w:p>
      <w:pPr>
        <w:ind w:firstLine="403"/>
      </w:pPr>
      <w:r>
        <w:rPr>
          <w:rFonts w:ascii="Times New Roman" w:hAnsi="Times New Roman" w:eastAsia="SimSun"/>
          <w:b w:val="0"/>
          <w:color w:val="222222"/>
          <w:sz w:val="21"/>
        </w:rPr>
        <w:t>第三，制度换装。德教在不同国家可以被登记为宗教团体、慈善机构、社团或有限公司；祭坛设置、主祀位阶、公开活动和名称也随环境变化。外在形式调整并不必然表示信仰消失，而可能是核心伦理与仪式在新法制中的重新嵌入。</w:t>
      </w:r>
    </w:p>
    <w:p>
      <w:pPr>
        <w:ind w:firstLine="403"/>
      </w:pPr>
      <w:r>
        <w:rPr>
          <w:rFonts w:ascii="Times New Roman" w:hAnsi="Times New Roman" w:eastAsia="SimSun"/>
          <w:b w:val="0"/>
          <w:color w:val="222222"/>
          <w:sz w:val="21"/>
        </w:rPr>
        <w:t>第四，网络互认。各阁、善堂和总会之间通过访问、庆典、赈灾合作、文本流通与人物往来建立互认。其权威更像分布式网络，而非教阶严密的中央教会。这一结构既促进跨国传播，也造成标准不一、资料分散与治理品质差异。</w:t>
      </w:r>
    </w:p>
    <w:p>
      <w:pPr>
        <w:pStyle w:val="Heading1"/>
      </w:pPr>
      <w:r>
        <w:t>四、材料、方法与证据边界</w:t>
      </w:r>
    </w:p>
    <w:p>
      <w:pPr>
        <w:ind w:firstLine="403"/>
      </w:pPr>
      <w:r>
        <w:rPr>
          <w:rFonts w:ascii="Times New Roman" w:hAnsi="Times New Roman" w:eastAsia="SimSun"/>
          <w:b w:val="0"/>
          <w:color w:val="222222"/>
          <w:sz w:val="21"/>
        </w:rPr>
        <w:t>本文采用比较历史分析与过程追踪，重点考察中国潮汕、香港、泰国、新加坡和马来西亚之间的传播节点，并以国家制度差异进行有限比较。主要依据包括吉原和男的早期田野研究、陈志明对马新德教组织的系统调查、Formoso的多点民族志、黄蕴的跨国网络研究，以及有关潮人善堂、仪式文化和新加坡战时慈善组织的成果。组织自身的经典、纪念刊与网站可用于理解其自我表述，但不直接作为规模、社会影响或历史年代的唯一证据。</w:t>
      </w:r>
    </w:p>
    <w:p>
      <w:pPr>
        <w:ind w:firstLine="403"/>
      </w:pPr>
      <w:r>
        <w:rPr>
          <w:rFonts w:ascii="Times New Roman" w:hAnsi="Times New Roman" w:eastAsia="SimSun"/>
          <w:b w:val="0"/>
          <w:color w:val="222222"/>
          <w:sz w:val="21"/>
        </w:rPr>
        <w:t>材料存在三项限制。其一，德教史大量依赖鸾文、口述和纪念刊，不同组织对创始年代与正统谱系的记载并不完全一致；学术研究常以1939年为早期起点，组织内部也可能突出1942、1943或1945年的不同节点。其二，公开资料偏向较大组织，难以代表地方小阁、女性志愿者、普通会员与非华人受益者。其三，“东盟国家”不是同质单位，现有证据主要集中于泰国、马来西亚和新加坡，不能把三国经验无条件外推至十一个东盟成员国。本文因此讨论的是德教在东盟社会中的主要历史通道与现实潜能，而不是对所有成员国现状的穷尽性调查。</w:t>
      </w:r>
    </w:p>
    <w:p>
      <w:pPr>
        <w:pStyle w:val="Heading1"/>
      </w:pPr>
      <w:r>
        <w:t>五、战乱、扶乩与救济：潮汕起源的双重结构</w:t>
      </w:r>
    </w:p>
    <w:p>
      <w:pPr>
        <w:ind w:firstLine="403"/>
      </w:pPr>
      <w:r>
        <w:rPr>
          <w:rFonts w:ascii="Times New Roman" w:hAnsi="Times New Roman" w:eastAsia="SimSun"/>
          <w:b w:val="0"/>
          <w:color w:val="222222"/>
          <w:sz w:val="21"/>
        </w:rPr>
        <w:t>德教兴起于抗日战争时期的潮汕社会。战乱、物资匮乏、疾病与秩序崩解，使民众既需要解释不确定性，也需要实际救济。扶乩提供神圣判断、心理安顿与群体纪律；施医赠药、赈济灾民等行动则回应生存危机。德教从一开始便不是先有完整神学、后附加慈善，而是在危机中同步形成“神圣指引—伦理规训—集体救济”的结构。</w:t>
      </w:r>
    </w:p>
    <w:p>
      <w:pPr>
        <w:ind w:firstLine="403"/>
      </w:pPr>
      <w:r>
        <w:rPr>
          <w:rFonts w:ascii="Times New Roman" w:hAnsi="Times New Roman" w:eastAsia="SimSun"/>
          <w:b w:val="0"/>
          <w:color w:val="222222"/>
          <w:sz w:val="21"/>
        </w:rPr>
        <w:t>这一结构解释了德教传播的可携带性。移民可以携带经典、仪式知识和人际信任，却不能完整复制原乡社会；慈善项目则能迅速在新环境中建立社会关系。1946年前后，德教从潮汕进入香港，随后经商旅和移民网络传至泰国及马来亚。传播者多为潮籍商人和地方精英，他们既拥有跨境移动资源，也熟悉社团筹资与公益组织。商业网络并不自动产生宗教扩张，但为人员、文本、捐款和信誉提供了基础设施。</w:t>
      </w:r>
    </w:p>
    <w:p>
      <w:pPr>
        <w:pStyle w:val="Heading1"/>
      </w:pPr>
      <w:r>
        <w:t>六、泰国：以佛教位阶与慈善法人实现制度适应</w:t>
      </w:r>
    </w:p>
    <w:p>
      <w:pPr>
        <w:ind w:firstLine="403"/>
      </w:pPr>
      <w:r>
        <w:rPr>
          <w:rFonts w:ascii="Times New Roman" w:hAnsi="Times New Roman" w:eastAsia="SimSun"/>
          <w:b w:val="0"/>
          <w:color w:val="222222"/>
          <w:sz w:val="21"/>
        </w:rPr>
        <w:t>泰国案例最清楚显示“制度换装”。吉原的研究记载，战后德教由具有潮州教育经历的本地华人引入；早期在华人组织受到严格控制的环境中，扶乩活动一度在私人空间谨慎进行。1950年代若干组织逐步以善堂或慈善机构取得公开身份。部分组织在祭坛上突出释迦牟尼的位阶，反映其对上座部佛教占主导地位的国家宗教结构作出调适。</w:t>
      </w:r>
    </w:p>
    <w:p>
      <w:pPr>
        <w:ind w:firstLine="403"/>
      </w:pPr>
      <w:r>
        <w:rPr>
          <w:rFonts w:ascii="Times New Roman" w:hAnsi="Times New Roman" w:eastAsia="SimSun"/>
          <w:b w:val="0"/>
          <w:color w:val="222222"/>
          <w:sz w:val="21"/>
        </w:rPr>
        <w:t>这种调适不是简单伪装。德教的多神圣贤结构本来就具有重新排列象征位阶的弹性；慈善注册又使其可以通过赈灾、济贫、义诊、收殓、养老、学校资助与奖学金进入公共生活。泰国德教因此形成双层表达：对内保留扶乩、训文和潮人网络，对外以佛教可理解的善行与慈善法人呈现。其历史意义在于说明，跨国宗教的延续并不要求符号一成不变，而取决于核心实践能否在当地合法秩序中获得接口。</w:t>
      </w:r>
    </w:p>
    <w:p>
      <w:pPr>
        <w:pStyle w:val="Heading1"/>
      </w:pPr>
      <w:r>
        <w:t>七、马来西亚：多中心网络与多宗教社会中的差异化发展</w:t>
      </w:r>
    </w:p>
    <w:p>
      <w:pPr>
        <w:ind w:firstLine="403"/>
      </w:pPr>
      <w:r>
        <w:rPr>
          <w:rFonts w:ascii="Times New Roman" w:hAnsi="Times New Roman" w:eastAsia="SimSun"/>
          <w:b w:val="0"/>
          <w:color w:val="222222"/>
          <w:sz w:val="21"/>
        </w:rPr>
        <w:t>马来亚地区的德教组织自1950年代快速出现，分布于马六甲、柔佛、槟城、霹雳及砂拉越等地。其组织谱系并非单一：除名称多以“紫”字开头的系统外，亦有以“济”字及其他名称形成的支系，各自强调不同主神、鸾务传统和组织来源。多样性显示德教不是由总部统一复制的宗派，而是多个地方组织在共同伦理标识下形成的网络。</w:t>
      </w:r>
    </w:p>
    <w:p>
      <w:pPr>
        <w:ind w:firstLine="403"/>
      </w:pPr>
      <w:r>
        <w:rPr>
          <w:rFonts w:ascii="Times New Roman" w:hAnsi="Times New Roman" w:eastAsia="SimSun"/>
          <w:b w:val="0"/>
          <w:color w:val="222222"/>
          <w:sz w:val="21"/>
        </w:rPr>
        <w:t>马来西亚的制度环境同时具有伊斯兰官方地位、族群政治结构及华人宗教的社团空间。德教的“五教同尊”在此具有双重作用：一方面，它以承认伊斯兰与基督教圣贤降低排他性，为多宗教共处提供象征语言；另一方面，若这种承认只停留在神坛排列而缺乏跨族群共同项目，便仍可能是华人内部对多元性的想象。故判断其现实价值，不能只看经典如何表述，更应看慈善服务对象、理事构成、语言使用和合作伙伴是否超越籍贯与族群边界。</w:t>
      </w:r>
    </w:p>
    <w:p>
      <w:pPr>
        <w:ind w:firstLine="403"/>
      </w:pPr>
      <w:r>
        <w:rPr>
          <w:rFonts w:ascii="Times New Roman" w:hAnsi="Times New Roman" w:eastAsia="SimSun"/>
          <w:b w:val="0"/>
          <w:color w:val="222222"/>
          <w:sz w:val="21"/>
        </w:rPr>
        <w:t>砂拉越等地的经验还显示，地方商人、跨阁资助与社团注册共同推动组织生长。网络弹性有利于扎根，却也带来治理挑战：不同组织的财务透明、专业服务能力和青年接班并不一致。多中心结构只有与现代问责结合，才能从历史网络转化为可持续公共机构。</w:t>
      </w:r>
    </w:p>
    <w:p>
      <w:pPr>
        <w:pStyle w:val="Heading1"/>
      </w:pPr>
      <w:r>
        <w:t>八、新加坡：从移民互助到受规管的公共慈善</w:t>
      </w:r>
    </w:p>
    <w:p>
      <w:pPr>
        <w:ind w:firstLine="403"/>
      </w:pPr>
      <w:r>
        <w:rPr>
          <w:rFonts w:ascii="Times New Roman" w:hAnsi="Times New Roman" w:eastAsia="SimSun"/>
          <w:b w:val="0"/>
          <w:color w:val="222222"/>
          <w:sz w:val="21"/>
        </w:rPr>
        <w:t>新加坡既是德教南传的重要节点，也是区分德教、善堂和一般华人慈善最需要谨慎的场域。战前战后的潮人善堂、中华善堂蓝十救济体系及其他华人宗教慈善组织，为施医、殡葬和灾难救济提供了深厚基础；德教组织进入新加坡后，可以借用这一成熟的社团语汇与公益传统，但不能据此把所有善堂历史归入德教谱系。</w:t>
      </w:r>
    </w:p>
    <w:p>
      <w:pPr>
        <w:ind w:firstLine="403"/>
      </w:pPr>
      <w:r>
        <w:rPr>
          <w:rFonts w:ascii="Times New Roman" w:hAnsi="Times New Roman" w:eastAsia="SimSun"/>
          <w:b w:val="0"/>
          <w:color w:val="222222"/>
          <w:sz w:val="21"/>
        </w:rPr>
        <w:t>独立后的新加坡以社团、慈善、宗教和公共秩序法律对组织进行分类管理，同时强调多种族、多宗教和社会和谐。对德教而言，这一环境鼓励其把“行德”表现为合法、可审计和面向社会的服务，也压缩了模糊的宗教—慈善边界。德教若要在新加坡获得更强公共性，不能只依靠华文仪式和熟人捐助，而需要以双语乃至多语传播、公开治理、专业项目评估及跨宗教合作，把传统伦理转化为现代社会能够理解的制度行为。</w:t>
      </w:r>
    </w:p>
    <w:p>
      <w:pPr>
        <w:ind w:firstLine="403"/>
      </w:pPr>
      <w:r>
        <w:rPr>
          <w:rFonts w:ascii="Times New Roman" w:hAnsi="Times New Roman" w:eastAsia="SimSun"/>
          <w:b w:val="0"/>
          <w:color w:val="222222"/>
          <w:sz w:val="21"/>
        </w:rPr>
        <w:t>新加坡案例由此提供一种较高标准的现代化方向：传统不必通过削弱神圣性来获得公共合法性，但必须接受财务、法人、风险与服务品质的现代规范。公开透明不是对信仰的外部干预，而是公益组织把道德声望转化为社会信任的必要条件。</w:t>
      </w:r>
    </w:p>
    <w:p>
      <w:pPr>
        <w:pStyle w:val="Heading1"/>
      </w:pPr>
      <w:r>
        <w:t>九、五教同尊：从包容象征到对话能力</w:t>
      </w:r>
    </w:p>
    <w:p>
      <w:pPr>
        <w:ind w:firstLine="403"/>
      </w:pPr>
      <w:r>
        <w:rPr>
          <w:rFonts w:ascii="Times New Roman" w:hAnsi="Times New Roman" w:eastAsia="SimSun"/>
          <w:b w:val="0"/>
          <w:color w:val="222222"/>
          <w:sz w:val="21"/>
        </w:rPr>
        <w:t>德教最具辨识度的表述之一，是尊崇儒、释、道、基督教与伊斯兰教的圣贤或教主。其历史语境不是现代宗教学意义上的教义比较，而是中国民间宗教以“万善同归”“诸教劝善”为基础建立的包容性秩序。它的优势在于降低唯一真理的排他宣称，使成员可以在多重信仰归属中参与德教；其局限则是可能用中国式分类框架代替对其他宗教自身教义与禁忌的认真理解。</w:t>
      </w:r>
    </w:p>
    <w:p>
      <w:pPr>
        <w:ind w:firstLine="403"/>
      </w:pPr>
      <w:r>
        <w:rPr>
          <w:rFonts w:ascii="Times New Roman" w:hAnsi="Times New Roman" w:eastAsia="SimSun"/>
          <w:b w:val="0"/>
          <w:color w:val="222222"/>
          <w:sz w:val="21"/>
        </w:rPr>
        <w:t>因此，五教同尊的当代价值应由“是否陈列五教符号”转向“是否形成对话能力”来衡量。真正的对话至少包括三层：认识层面准确理解不同宗教的自我界定；伦理层面寻找慈悲、诚信、家庭责任与扶助弱者等可合作议题；行动层面共同开展救灾、助学、养老、环保和社区照护。只有从象征包容进入共同实践，五教同尊才可能成为东盟多宗教社会的现实资源，而不是组织内部的自我赞许。</w:t>
      </w:r>
    </w:p>
    <w:p>
      <w:pPr>
        <w:pStyle w:val="Heading1"/>
      </w:pPr>
      <w:r>
        <w:t>十、历史价值：保存了什么，又改变了什么</w:t>
      </w:r>
    </w:p>
    <w:p>
      <w:pPr>
        <w:ind w:firstLine="403"/>
      </w:pPr>
      <w:r>
        <w:rPr>
          <w:rFonts w:ascii="Times New Roman" w:hAnsi="Times New Roman" w:eastAsia="SimSun"/>
          <w:b w:val="0"/>
          <w:color w:val="222222"/>
          <w:sz w:val="21"/>
        </w:rPr>
        <w:t>德教的第一项历史价值，是保存并现代重组了中国劝善传统。十章八则、鸾文和圣贤谱系把儒家的德目、佛道因果观与民间善书实践纳入组织化生活，使“修身”与“济世”保持连接。它保存的不是纯粹古典思想，而是基层社会把伦理变成日常纪律、捐赠和服务的方法。</w:t>
      </w:r>
    </w:p>
    <w:p>
      <w:pPr>
        <w:ind w:firstLine="403"/>
      </w:pPr>
      <w:r>
        <w:rPr>
          <w:rFonts w:ascii="Times New Roman" w:hAnsi="Times New Roman" w:eastAsia="SimSun"/>
          <w:b w:val="0"/>
          <w:color w:val="222222"/>
          <w:sz w:val="21"/>
        </w:rPr>
        <w:t>第二项历史价值，是记录战争与迁徙社会的民间应对。德教的发生史说明，在国家能力不足、灾难频仍的时期，宗教结社能够提供心理秩序、互助网络与基本救济。其海外发展又保存了潮人迁徙、商人结社和侨乡联系的社会记忆。</w:t>
      </w:r>
    </w:p>
    <w:p>
      <w:pPr>
        <w:ind w:firstLine="403"/>
      </w:pPr>
      <w:r>
        <w:rPr>
          <w:rFonts w:ascii="Times New Roman" w:hAnsi="Times New Roman" w:eastAsia="SimSun"/>
          <w:b w:val="0"/>
          <w:color w:val="222222"/>
          <w:sz w:val="21"/>
        </w:rPr>
        <w:t>第三项历史价值，是展示中华传统如何在东南亚被地方化。泰国的佛教位阶、马来西亚的多支系网络、新加坡的规范化慈善，均表明“海外传承”不是复制，而是选择、翻译与重组。德教因此既属于中国宗教史，也属于东南亚各国的社会史。若只把它视为中国文化的海外遗存，便会抹去东南亚国家与本地社会对其形态的共同塑造。</w:t>
      </w:r>
    </w:p>
    <w:p>
      <w:pPr>
        <w:pStyle w:val="Heading1"/>
      </w:pPr>
      <w:r>
        <w:t>十一、当代意义：德教能为东盟社会提供什么</w:t>
      </w:r>
    </w:p>
    <w:p>
      <w:pPr>
        <w:ind w:firstLine="403"/>
      </w:pPr>
      <w:r>
        <w:rPr>
          <w:rFonts w:ascii="Times New Roman" w:hAnsi="Times New Roman" w:eastAsia="SimSun"/>
          <w:b w:val="0"/>
          <w:color w:val="222222"/>
          <w:sz w:val="21"/>
        </w:rPr>
        <w:t>第一，提供低门槛的共同伦理语言。东盟社会宗教多元、发展水平差异显著，难以建立统一神学，却可以围绕诚信、孝亲、关怀弱者、反浪费与公共责任形成合作。德教以“德”而非排他性皈依为中心，具备转译潜力。</w:t>
      </w:r>
    </w:p>
    <w:p>
      <w:pPr>
        <w:ind w:firstLine="403"/>
      </w:pPr>
      <w:r>
        <w:rPr>
          <w:rFonts w:ascii="Times New Roman" w:hAnsi="Times New Roman" w:eastAsia="SimSun"/>
          <w:b w:val="0"/>
          <w:color w:val="222222"/>
          <w:sz w:val="21"/>
        </w:rPr>
        <w:t>第二，补充社区照护与灾害韧性。东南亚频繁面对洪灾、疫情、人口老龄化与贫困不均。德教长期积累的募捐、志愿者动员和跨地网络，可在政府与市场之外提供快速救助。但传统善举必须与专业社工、医疗规范、数据保护及灾害治理相连接。</w:t>
      </w:r>
    </w:p>
    <w:p>
      <w:pPr>
        <w:ind w:firstLine="403"/>
      </w:pPr>
      <w:r>
        <w:rPr>
          <w:rFonts w:ascii="Times New Roman" w:hAnsi="Times New Roman" w:eastAsia="SimSun"/>
          <w:b w:val="0"/>
          <w:color w:val="222222"/>
          <w:sz w:val="21"/>
        </w:rPr>
        <w:t>第三，建设跨境民间社会网络。德教各阁之间已有访问、庆典与捐助传统，可进一步转化为区域性的青年志愿服务、慈善培训、文化档案与灾害协作。其价值不在于另建政治性组织，而在于为东盟“以人为本”的区域共同体增加基层连接。</w:t>
      </w:r>
    </w:p>
    <w:p>
      <w:pPr>
        <w:ind w:firstLine="403"/>
      </w:pPr>
      <w:r>
        <w:rPr>
          <w:rFonts w:ascii="Times New Roman" w:hAnsi="Times New Roman" w:eastAsia="SimSun"/>
          <w:b w:val="0"/>
          <w:color w:val="222222"/>
          <w:sz w:val="21"/>
        </w:rPr>
        <w:t>第四，提供华人文化在地化的正面范例。德教若以所在国公民责任为前提，以当地语言服务不同族群，便能说明中华文化传承并不等于封闭侨民身份；它可以通过贡献所在社会而获得新的生命。相反，若活动长期局限于华人、潮语和内部庆典，其公共价值便会收缩为族群遗产保护。</w:t>
      </w:r>
    </w:p>
    <w:p>
      <w:pPr>
        <w:pStyle w:val="Heading1"/>
      </w:pPr>
      <w:r>
        <w:t>十二、现实风险与现代转型议程</w:t>
      </w:r>
    </w:p>
    <w:p>
      <w:pPr>
        <w:ind w:firstLine="403"/>
      </w:pPr>
      <w:r>
        <w:rPr>
          <w:rFonts w:ascii="Times New Roman" w:hAnsi="Times New Roman" w:eastAsia="SimSun"/>
          <w:b w:val="0"/>
          <w:color w:val="222222"/>
          <w:sz w:val="21"/>
        </w:rPr>
        <w:t>对德教当代意义的论证必须包括反证与风险。其一，会员老龄化和语言断层可能使经典、礼仪与组织经验无法传承。其二，扶乩权威若缺乏边界，可能与现代法人治理、医疗判断和财务责任发生冲突。其三，组织依赖少数商人或家族捐助，容易形成声望治理而非制度治理。其四，五教同尊若未经真正宗教对话，可能被外界理解为挪用或混同。其五，跨境文化联系若缺乏在地公民叙事，也可能被误读为外部政治影响。</w:t>
      </w:r>
    </w:p>
    <w:p>
      <w:pPr>
        <w:ind w:firstLine="403"/>
      </w:pPr>
      <w:r>
        <w:rPr>
          <w:rFonts w:ascii="Times New Roman" w:hAnsi="Times New Roman" w:eastAsia="SimSun"/>
          <w:b w:val="0"/>
          <w:color w:val="222222"/>
          <w:sz w:val="21"/>
        </w:rPr>
        <w:t>相应的转型不应是简单去宗教化，而应建立“双层治理”：信仰层面尊重经典、仪式和组织传统；公共层面由章程、理事会、专业人员、财务审计、利益冲突制度和项目评估负责。鸾训可以提供价值方向，但不能代替法定义务与专业判断。</w:t>
      </w:r>
    </w:p>
    <w:p>
      <w:pPr>
        <w:ind w:firstLine="403"/>
      </w:pPr>
      <w:r>
        <w:rPr>
          <w:rFonts w:ascii="Times New Roman" w:hAnsi="Times New Roman" w:eastAsia="SimSun"/>
          <w:b w:val="0"/>
          <w:color w:val="222222"/>
          <w:sz w:val="21"/>
        </w:rPr>
        <w:t>未来可形成四项共同工程：一是整理不同版本的德教经典、口述史与组织档案，建立可考证的区域数字文献库；二是将十章八则译为现代中文、英文、马来文、泰文和印尼文，并附历史语境与比较宗教注释；三是建设青年志愿者与社区服务课程，使“读训”与“行德”相互验证；四是建立区域慈善治理准则，以透明、非歧视、专业和在地合规作为阁际合作底线。</w:t>
      </w:r>
    </w:p>
    <w:p>
      <w:pPr>
        <w:pStyle w:val="Heading1"/>
      </w:pPr>
      <w:r>
        <w:t>十三、竞争解释与反证</w:t>
      </w:r>
    </w:p>
    <w:p>
      <w:pPr>
        <w:ind w:firstLine="403"/>
      </w:pPr>
      <w:r>
        <w:rPr>
          <w:rFonts w:ascii="Times New Roman" w:hAnsi="Times New Roman" w:eastAsia="SimSun"/>
          <w:b w:val="0"/>
          <w:color w:val="222222"/>
          <w:sz w:val="21"/>
        </w:rPr>
        <w:t>“侨乡文化移植论”能够解释德教的潮汕语言、神明和仪式来源，却无法解释其在各国显著不同的法人身份与象征调整。“商人网络扩张论”能够解释资金、人员和组织技术，却不足以解释普通成员的信仰投入和慈善为何成为核心实践。“宗教适应论”能够解释泰国佛教化表达与多教结构，却容易低估公益服务对合法性的作用。“慈善公共化论”解释了组织为何被国家与公众接受，但若忽略扶乩、经典和神圣共同体，又无法解释德教与一般基金会的区别。</w:t>
      </w:r>
    </w:p>
    <w:p>
      <w:pPr>
        <w:ind w:firstLine="403"/>
      </w:pPr>
      <w:r>
        <w:rPr>
          <w:rFonts w:ascii="Times New Roman" w:hAnsi="Times New Roman" w:eastAsia="SimSun"/>
          <w:b w:val="0"/>
          <w:color w:val="222222"/>
          <w:sz w:val="21"/>
        </w:rPr>
        <w:t>最有解释力的是多机制组合：潮汕传统提供文化语法，商人网络提供传播基础设施，宗教弹性提供地方适应，慈善实践生产公共合法性。任何单一因素都不是充分条件。反例同样重要：许多拥有潮商网络的地区并未形成强大德教组织；不少大型善堂也不属于德教；部分德教阁可能长期以内向仪式为主而公共服务有限。因此，本文主张的不是德教必然促进宗教和谐或社会福利，而是其组织结构提供了这种可能，实际结果必须由具体治理和服务证据检验。</w:t>
      </w:r>
    </w:p>
    <w:p>
      <w:pPr>
        <w:pStyle w:val="Heading1"/>
      </w:pPr>
      <w:r>
        <w:t>十四、结论</w:t>
      </w:r>
    </w:p>
    <w:p>
      <w:pPr>
        <w:ind w:firstLine="403"/>
      </w:pPr>
      <w:r>
        <w:rPr>
          <w:rFonts w:ascii="Times New Roman" w:hAnsi="Times New Roman" w:eastAsia="SimSun"/>
          <w:b w:val="0"/>
          <w:color w:val="222222"/>
          <w:sz w:val="21"/>
        </w:rPr>
        <w:t>德教文化在当代东盟国家的意义，不能只用“弘扬中华优秀传统文化”概括。这样的表述虽方向正面，却不足以解释德教为何在东南亚生长、如何适应不同国家制度，以及何种条件下真正产生公共价值。更准确的历史判断是：德教诞生于战乱中的潮汕，以扶乩、劝善和救济形成信仰—伦理—慈善组合；战后借助潮人商旅与移民网络进入香港、泰国、马来亚和新加坡；继而在各国的宗教秩序、社团法规和族群关系中完成地方化。</w:t>
      </w:r>
    </w:p>
    <w:p>
      <w:pPr>
        <w:ind w:firstLine="403"/>
      </w:pPr>
      <w:r>
        <w:rPr>
          <w:rFonts w:ascii="Times New Roman" w:hAnsi="Times New Roman" w:eastAsia="SimSun"/>
          <w:b w:val="0"/>
          <w:color w:val="222222"/>
          <w:sz w:val="21"/>
        </w:rPr>
        <w:t>其历史价值，在于保存了民间社会面对危机时将道德信念转化为互助行动的经验，也见证了中华文化从原乡传统变成东南亚在地遗产的过程。其现实意义，则在于提供一种非排他的伦理接口：不同宗教者不必接受同一神学，也可以通过诚信、仁爱、责任和慈善合作。</w:t>
      </w:r>
    </w:p>
    <w:p>
      <w:pPr>
        <w:ind w:firstLine="403"/>
      </w:pPr>
      <w:r>
        <w:rPr>
          <w:rFonts w:ascii="Times New Roman" w:hAnsi="Times New Roman" w:eastAsia="SimSun"/>
          <w:b w:val="0"/>
          <w:color w:val="222222"/>
          <w:sz w:val="21"/>
        </w:rPr>
        <w:t>但德教能否从华人社群遗产进一步成长为东盟社会的公共伦理资源，并无自动答案。决定性标准不是拥有多少历史、神坛或庆典，而是能否服务不同族群、接受现代治理、形成青年主体、尊重其他宗教的自我理解，并把跨国网络用于透明而专业的公益合作。德教真正可持续的现代化，不是舍弃传统，而是使“德”从内部训诫转化为可以被社会看见、参与和检验的公共实践。</w:t>
      </w:r>
    </w:p>
    <w:p>
      <w:pPr>
        <w:pStyle w:val="Heading1"/>
      </w:pPr>
      <w:r>
        <w:t>研究状态与证据边界</w:t>
      </w:r>
    </w:p>
    <w:p>
      <w:pPr>
        <w:ind w:firstLine="403"/>
      </w:pPr>
      <w:r>
        <w:rPr>
          <w:rFonts w:ascii="Times New Roman" w:hAnsi="Times New Roman" w:eastAsia="SimSun"/>
          <w:b w:val="0"/>
          <w:color w:val="222222"/>
          <w:sz w:val="21"/>
        </w:rPr>
        <w:t>本文为理论—历史综合型初稿，已依据公开可得的代表性学术研究建立核心问题、比较框架与机制解释，但尚未系统使用各国社团注册档案、德教总会与各阁会议记录、财务与慈善项目数据、鸾文原件及多语种口述史。有关组织数量、会员结构、跨族群受益比例和当代社会影响的判断，应在正式发表前通过新加坡、马来西亚、泰国的田野调查与档案核验。本文提出的“伦理—慈善双重公共化”属于可检验命题，而非对德教现实成效的先验肯定。</w:t>
      </w:r>
    </w:p>
    <w:p>
      <w:pPr>
        <w:pStyle w:val="Heading1"/>
      </w:pPr>
      <w:r>
        <w:t>参考文献</w:t>
      </w:r>
    </w:p>
    <w:p>
      <w:pPr>
        <w:spacing w:after="80"/>
        <w:ind w:left="360" w:hanging="360"/>
      </w:pPr>
      <w:r>
        <w:rPr>
          <w:rFonts w:ascii="Times New Roman" w:hAnsi="Times New Roman" w:eastAsia="SimSun"/>
          <w:b w:val="0"/>
          <w:color w:val="222222"/>
          <w:sz w:val="19"/>
        </w:rPr>
        <w:t>陈志明（Tan, Chee-Beng）. 1985. The Development and Distribution of Dejiao Associations in Malaysia and Singapore. Singapore: Institute of Southeast Asian Studies.</w:t>
      </w:r>
    </w:p>
    <w:p>
      <w:pPr>
        <w:spacing w:after="80"/>
        <w:ind w:left="360" w:hanging="360"/>
      </w:pPr>
      <w:r>
        <w:rPr>
          <w:rFonts w:ascii="Times New Roman" w:hAnsi="Times New Roman" w:eastAsia="SimSun"/>
          <w:b w:val="0"/>
          <w:color w:val="222222"/>
          <w:sz w:val="19"/>
        </w:rPr>
        <w:t>Formoso, Bernard. 2010. “Dejiao, a Chinese Religious Movement in the Age of Globalization.” Journal of Chinese Religions 38(1): 35–58.</w:t>
      </w:r>
    </w:p>
    <w:p>
      <w:pPr>
        <w:spacing w:after="80"/>
        <w:ind w:left="360" w:hanging="360"/>
      </w:pPr>
      <w:r>
        <w:rPr>
          <w:rFonts w:ascii="Times New Roman" w:hAnsi="Times New Roman" w:eastAsia="SimSun"/>
          <w:b w:val="0"/>
          <w:color w:val="222222"/>
          <w:sz w:val="19"/>
        </w:rPr>
        <w:t>Formoso, Bernard. 2010. De Jiao: A Religious Movement in Contemporary China and Overseas—Purple Qi from the East. Singapore: NUS Press.</w:t>
      </w:r>
    </w:p>
    <w:p>
      <w:pPr>
        <w:spacing w:after="80"/>
        <w:ind w:left="360" w:hanging="360"/>
      </w:pPr>
      <w:r>
        <w:rPr>
          <w:rFonts w:ascii="Times New Roman" w:hAnsi="Times New Roman" w:eastAsia="SimSun"/>
          <w:b w:val="0"/>
          <w:color w:val="222222"/>
          <w:sz w:val="19"/>
        </w:rPr>
        <w:t>黄蕴. 2008. “The Transnational Development of the Dejiao Organization and the Extension of Its Network.” Southeast Asia: History and Culture 37: 60–84.</w:t>
      </w:r>
    </w:p>
    <w:p>
      <w:pPr>
        <w:spacing w:after="80"/>
        <w:ind w:left="360" w:hanging="360"/>
      </w:pPr>
      <w:r>
        <w:rPr>
          <w:rFonts w:ascii="Times New Roman" w:hAnsi="Times New Roman" w:eastAsia="SimSun"/>
          <w:b w:val="0"/>
          <w:color w:val="222222"/>
          <w:sz w:val="19"/>
        </w:rPr>
        <w:t>黄蕴. 2012. “An Anthropological Study on the Development of Organization and Formation of the Dejiao Network.” Journal of Cultural Interaction in East Asia.</w:t>
      </w:r>
    </w:p>
    <w:p>
      <w:pPr>
        <w:spacing w:after="80"/>
        <w:ind w:left="360" w:hanging="360"/>
      </w:pPr>
      <w:r>
        <w:rPr>
          <w:rFonts w:ascii="Times New Roman" w:hAnsi="Times New Roman" w:eastAsia="SimSun"/>
          <w:b w:val="0"/>
          <w:color w:val="222222"/>
          <w:sz w:val="19"/>
        </w:rPr>
        <w:t>吉原和男（Yoshihara, Kazuo）. 1988. “Dejiao: A Chinese Religion in Southeast Asia.” Japanese Journal of Religious Studies 15(2–3): 199–221.</w:t>
      </w:r>
    </w:p>
    <w:p>
      <w:pPr>
        <w:spacing w:after="80"/>
        <w:ind w:left="360" w:hanging="360"/>
      </w:pPr>
      <w:r>
        <w:rPr>
          <w:rFonts w:ascii="Times New Roman" w:hAnsi="Times New Roman" w:eastAsia="SimSun"/>
          <w:b w:val="0"/>
          <w:color w:val="222222"/>
          <w:sz w:val="19"/>
        </w:rPr>
        <w:t>志贺市子. 2016.《潮人善堂仪式文化在东南亚华人社会的传承与转化》. 载《华侨华人文献学刊（第二辑）》.</w:t>
      </w:r>
    </w:p>
    <w:p>
      <w:pPr>
        <w:spacing w:after="80"/>
        <w:ind w:left="360" w:hanging="360"/>
      </w:pPr>
      <w:r>
        <w:rPr>
          <w:rFonts w:ascii="Times New Roman" w:hAnsi="Times New Roman" w:eastAsia="SimSun"/>
          <w:b w:val="0"/>
          <w:color w:val="222222"/>
          <w:sz w:val="19"/>
        </w:rPr>
        <w:t>王惠. 2016.《危机下的新加坡善堂：日治时期新加坡潮人善堂的因应之策，1942—1945》. 国际会议论文.</w:t>
      </w:r>
    </w:p>
    <w:p>
      <w:pPr>
        <w:spacing w:after="80"/>
        <w:ind w:left="360" w:hanging="360"/>
      </w:pPr>
      <w:r>
        <w:rPr>
          <w:rFonts w:ascii="Times New Roman" w:hAnsi="Times New Roman" w:eastAsia="SimSun"/>
          <w:b w:val="0"/>
          <w:color w:val="222222"/>
          <w:sz w:val="19"/>
        </w:rPr>
        <w:t>陈志明、孟庆波.《善堂——中国、新加坡和马来西亚的慈善寺堂》.</w:t>
      </w:r>
    </w:p>
    <w:p>
      <w:pPr>
        <w:spacing w:after="80"/>
        <w:ind w:left="360" w:hanging="360"/>
      </w:pPr>
      <w:r>
        <w:rPr>
          <w:rFonts w:ascii="Times New Roman" w:hAnsi="Times New Roman" w:eastAsia="SimSun"/>
          <w:b w:val="0"/>
          <w:color w:val="222222"/>
          <w:sz w:val="19"/>
        </w:rPr>
        <w:t>Dejiao organizations.《德教心典》《德教意识》《德教序》及各阁纪念刊（版本、年代及谱系关系待档案核验）.</w:t>
      </w:r>
    </w:p>
    <w:sectPr w:rsidR="00FC693F" w:rsidRPr="0006063C" w:rsidSect="00034616">
      <w:headerReference w:type="default" r:id="rId9"/>
      <w:footerReference w:type="default" r:id="rId10"/>
      <w:pgSz w:w="11909" w:h="16834"/>
      <w:pgMar w:top="1181" w:right="1296" w:bottom="1181" w:left="1296" w:header="504" w:footer="547"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Times New Roman" w:hAnsi="Times New Roman" w:eastAsia="Microsoft YaHei"/>
        <w:b w:val="0"/>
        <w:color w:val="777777"/>
        <w:sz w:val="17"/>
      </w:rPr>
      <w:t>2026年8月</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Times New Roman" w:hAnsi="Times New Roman" w:eastAsia="Microsoft YaHei"/>
        <w:b w:val="0"/>
        <w:color w:val="777777"/>
        <w:sz w:val="17"/>
      </w:rPr>
      <w:t>德教与东盟社会｜研究论文初稿</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31" w:lineRule="auto" w:after="100"/>
      <w:jc w:val="both"/>
    </w:pPr>
    <w:rPr>
      <w:rFonts w:ascii="SimSun" w:hAnsi="SimSun" w:eastAsia="SimSun"/>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00" w:after="140"/>
      <w:outlineLvl w:val="0"/>
    </w:pPr>
    <w:rPr>
      <w:rFonts w:asciiTheme="majorHAnsi" w:eastAsiaTheme="majorEastAsia" w:hAnsiTheme="majorHAnsi" w:cstheme="majorBidi" w:ascii="Microsoft YaHei" w:hAnsi="Microsoft YaHei" w:eastAsia="Microsoft YaHei"/>
      <w:b/>
      <w:bCs/>
      <w:color w:val="5A2B24"/>
      <w:sz w:val="30"/>
      <w:szCs w:val="28"/>
    </w:rPr>
  </w:style>
  <w:style w:type="paragraph" w:styleId="Heading2">
    <w:name w:val="heading 2"/>
    <w:basedOn w:val="Normal"/>
    <w:next w:val="Normal"/>
    <w:link w:val="Heading2Char"/>
    <w:uiPriority w:val="9"/>
    <w:unhideWhenUsed/>
    <w:qFormat/>
    <w:rsid w:val="00FC693F"/>
    <w:pPr>
      <w:keepNext/>
      <w:keepLines/>
      <w:spacing w:before="220" w:after="100"/>
      <w:outlineLvl w:val="1"/>
    </w:pPr>
    <w:rPr>
      <w:rFonts w:asciiTheme="majorHAnsi" w:eastAsiaTheme="majorEastAsia" w:hAnsiTheme="majorHAnsi" w:cstheme="majorBidi" w:ascii="Microsoft YaHei" w:hAnsi="Microsoft YaHei" w:eastAsia="Microsoft YaHei"/>
      <w:b/>
      <w:bCs/>
      <w:color w:val="5A2B24"/>
      <w:sz w:val="25"/>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从劝善结社到跨族群伦理网络：德教文化在东盟社会的历史生成、制度适应与当代价值</dc:title>
  <dc:subject>德教文化、东盟社会、慈善公共性与跨宗教伦理</dc:subject>
  <dc:creator>研究论文初稿</dc:creator>
  <cp:keywords/>
  <dc:description>generated by python-docx</dc:description>
  <cp:lastModifiedBy/>
  <cp:revision>1</cp:revision>
  <dcterms:created xsi:type="dcterms:W3CDTF">2013-12-23T23:15:00Z</dcterms:created>
  <dcterms:modified xsi:type="dcterms:W3CDTF">2013-12-23T23:15:00Z</dcterms:modified>
  <cp:category/>
</cp:coreProperties>
</file>