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pStyle w:val="Title"/>
        <w:jc w:val="center"/>
      </w:pPr>
      <w:r>
        <w:t>文明再植</w:t>
      </w:r>
    </w:p>
    <w:p>
      <w:pPr>
        <w:pStyle w:val="Subtitle"/>
        <w:jc w:val="center"/>
      </w:pPr>
      <w:r>
        <w:t>全球文明重构中的马来西亚华教</w:t>
      </w:r>
    </w:p>
    <w:p>
      <w:pPr>
        <w:spacing w:before="320"/>
        <w:jc w:val="center"/>
      </w:pPr>
      <w:r>
        <w:rPr>
          <w:rFonts w:ascii="Noto Sans CJK SC" w:hAnsi="Noto Sans CJK SC" w:eastAsia="Noto Sans CJK SC"/>
          <w:color w:val="405566"/>
          <w:sz w:val="24"/>
        </w:rPr>
        <w:t>共同办学、知识传承与现代多元文明</w:t>
      </w:r>
    </w:p>
    <w:p/>
    <w:p/>
    <w:p/>
    <w:p>
      <w:pPr>
        <w:jc w:val="center"/>
      </w:pPr>
      <w:r>
        <w:rPr>
          <w:b/>
        </w:rPr>
        <w:t>作者：文颜博士 / Dr. Wen Yan</w:t>
        <w:br/>
      </w:r>
      <w:r>
        <w:t>SDA ScholarOS 研究计划</w:t>
        <w:br/>
        <w:t>中英文经典著作工程母稿 v0.5 · 2026年9月</w:t>
      </w:r>
    </w:p>
    <w:p>
      <w:r>
        <w:br w:type="page"/>
      </w:r>
    </w:p>
    <w:p>
      <w:pPr>
        <w:pStyle w:val="Heading1"/>
      </w:pPr>
      <w:r>
        <w:t>版本说明与证据纪律</w:t>
      </w:r>
    </w:p>
    <w:p>
      <w:r>
        <w:t>本稿是可持续扩展的学术母稿，不以“已经完成申遗”或“已经证明突出普遍价值”为预设。它首先判断马来西亚华教能否在《保护非物质文化遗产公约》的概念体系中被识别为一种活态文化实践，再讨论其历史生成、当代承载者、代际传递、风险与保护。书中把已经核实的事实、可合理推论的解释和仍需田野或档案核验的线索分开处理。</w:t>
      </w:r>
    </w:p>
    <w:p>
      <w:r>
        <w:t>本研究遵守五项定位：地点、载体、时间、行动者、机制必须相互闭合。历史事实不自动等于遗产价值；文化连续不自动等于制度完整；组织存在不自动等于共同体同意；公共赞誉不替代反证；网络图片不等于已获得出版授权的图片。</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512"/>
            <w:shd w:fill="E8EEF2"/>
            <w:vAlign w:val="center"/>
            <w:tcMar>
              <w:top w:w="100" w:type="dxa"/>
              <w:start w:w="120" w:type="dxa"/>
              <w:bottom w:w="100" w:type="dxa"/>
              <w:end w:w="120" w:type="dxa"/>
            </w:tcMar>
          </w:tcPr>
          <w:p>
            <w:r>
              <w:rPr>
                <w:rFonts w:ascii="Noto Sans CJK SC" w:hAnsi="Noto Sans CJK SC" w:eastAsia="Noto Sans CJK SC"/>
                <w:b/>
                <w:sz w:val="18"/>
              </w:rPr>
              <w:t>证据状态</w:t>
            </w:r>
          </w:p>
        </w:tc>
        <w:tc>
          <w:tcPr>
            <w:tcW w:type="dxa" w:w="3168"/>
            <w:shd w:fill="E8EEF2"/>
            <w:vAlign w:val="center"/>
            <w:tcMar>
              <w:top w:w="100" w:type="dxa"/>
              <w:start w:w="120" w:type="dxa"/>
              <w:bottom w:w="100" w:type="dxa"/>
              <w:end w:w="120" w:type="dxa"/>
            </w:tcMar>
          </w:tcPr>
          <w:p>
            <w:r>
              <w:rPr>
                <w:rFonts w:ascii="Noto Sans CJK SC" w:hAnsi="Noto Sans CJK SC" w:eastAsia="Noto Sans CJK SC"/>
                <w:b/>
                <w:sz w:val="18"/>
              </w:rPr>
              <w:t>含义</w:t>
            </w:r>
          </w:p>
        </w:tc>
        <w:tc>
          <w:tcPr>
            <w:tcW w:type="dxa" w:w="4680"/>
            <w:shd w:fill="E8EEF2"/>
            <w:vAlign w:val="center"/>
            <w:tcMar>
              <w:top w:w="100" w:type="dxa"/>
              <w:start w:w="120" w:type="dxa"/>
              <w:bottom w:w="100" w:type="dxa"/>
              <w:end w:w="120" w:type="dxa"/>
            </w:tcMar>
          </w:tcPr>
          <w:p>
            <w:r>
              <w:rPr>
                <w:rFonts w:ascii="Noto Sans CJK SC" w:hAnsi="Noto Sans CJK SC" w:eastAsia="Noto Sans CJK SC"/>
                <w:b/>
                <w:sz w:val="18"/>
              </w:rPr>
              <w:t>书稿允许表述</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 已核原件</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法律、档案原件、官方统计、同期报刊或可验证组织记录</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“显示”“规定”“记录”</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 多源互证</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两个以上独立来源相互印证</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“可以确认”“大体可见”</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C 单源线索</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单一回忆、新闻转述或未核馆藏条目</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“提示”“有待核实”</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D 研究假设</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由结构关系提出、尚待田野或量化检验</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“本文提出”“若……则……”</w:t>
            </w:r>
          </w:p>
        </w:tc>
      </w:tr>
    </w:tbl>
    <w:p>
      <w:pPr>
        <w:spacing w:after="20"/>
      </w:pPr>
    </w:p>
    <w:p>
      <w:pPr>
        <w:pStyle w:val="Heading1"/>
      </w:pPr>
      <w:r>
        <w:t>全书总论点</w:t>
      </w:r>
    </w:p>
    <w:p>
      <w:r>
        <w:t>马来西亚华教不是若干以华文授课学校的集合，也不是中华文明在海外的静态残片。它是地理大发现以后海洋连通、殖民扩张、人口迁徙、族群分类、民族国家建构与地方社会自治长期交互所生成的一套教育再生产结构。其核心不是“华文”这一单一符号，而是共同体持续把土地、资金、劳动、知识、声望与代际责任转换为学校的实践。</w:t>
      </w:r>
    </w:p>
    <w:p>
      <w:r>
        <w:t>本书把这一实践称为“社区共同办学传统”。学校建筑是物质载体，华文是主要知识媒介，董事会与教师组织是治理接口，捐资、义演、校庆、校友反哺与公共论争是社会动员形式，而一代又一代家庭把儿童送入这一体系，则是它得以成为活态遗产的最基本行动。</w:t>
      </w:r>
    </w:p>
    <w:p>
      <w:pPr>
        <w:pStyle w:val="BookEpigraph"/>
      </w:pPr>
      <w:r>
        <w:t>本书的世界史命题是：现代性并不只由国家、市场和个人构成。迁徙共同体也能创造持久的公共制度。当文明的空间、国家的疆界和人口的迁移不再重合时，社区共同办学提供了一种使文化差异不必转化为政治分离、使国家共同体不必以文化同质化为代价的历史方案。</w:t>
      </w:r>
    </w:p>
    <w:p>
      <w:pPr>
        <w:pStyle w:val="Heading1"/>
      </w:pPr>
      <w:r>
        <w:t>全书结构与章级原创命题</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936"/>
            <w:shd w:fill="E8EEF2"/>
            <w:vAlign w:val="center"/>
            <w:tcMar>
              <w:top w:w="100" w:type="dxa"/>
              <w:start w:w="120" w:type="dxa"/>
              <w:bottom w:w="100" w:type="dxa"/>
              <w:end w:w="120" w:type="dxa"/>
            </w:tcMar>
          </w:tcPr>
          <w:p>
            <w:r>
              <w:rPr>
                <w:rFonts w:ascii="Noto Sans CJK SC" w:hAnsi="Noto Sans CJK SC" w:eastAsia="Noto Sans CJK SC"/>
                <w:b/>
                <w:sz w:val="18"/>
              </w:rPr>
              <w:t>章</w:t>
            </w:r>
          </w:p>
        </w:tc>
        <w:tc>
          <w:tcPr>
            <w:tcW w:type="dxa" w:w="3024"/>
            <w:shd w:fill="E8EEF2"/>
            <w:vAlign w:val="center"/>
            <w:tcMar>
              <w:top w:w="100" w:type="dxa"/>
              <w:start w:w="120" w:type="dxa"/>
              <w:bottom w:w="100" w:type="dxa"/>
              <w:end w:w="120" w:type="dxa"/>
            </w:tcMar>
          </w:tcPr>
          <w:p>
            <w:r>
              <w:rPr>
                <w:rFonts w:ascii="Noto Sans CJK SC" w:hAnsi="Noto Sans CJK SC" w:eastAsia="Noto Sans CJK SC"/>
                <w:b/>
                <w:sz w:val="18"/>
              </w:rPr>
              <w:t>题目</w:t>
            </w:r>
          </w:p>
        </w:tc>
        <w:tc>
          <w:tcPr>
            <w:tcW w:type="dxa" w:w="5400"/>
            <w:shd w:fill="E8EEF2"/>
            <w:vAlign w:val="center"/>
            <w:tcMar>
              <w:top w:w="100" w:type="dxa"/>
              <w:start w:w="120" w:type="dxa"/>
              <w:bottom w:w="100" w:type="dxa"/>
              <w:end w:w="120" w:type="dxa"/>
            </w:tcMar>
          </w:tcPr>
          <w:p>
            <w:r>
              <w:rPr>
                <w:rFonts w:ascii="Noto Sans CJK SC" w:hAnsi="Noto Sans CJK SC" w:eastAsia="Noto Sans CJK SC"/>
                <w:b/>
                <w:sz w:val="18"/>
              </w:rPr>
              <w:t>中心贡献</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导论</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谁在生产教育：从华校史到文明再植</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把分析单位从学校转向“共同体—资源—治理—传承”的关系结构。</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第一章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海洋连通与文明脱域</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地理大发现是全球不对称连接的加速器，而非亚洲海洋史的起点。</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第二章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殖民分类与复合教育空间</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殖民教育并非单一国家体系的未成熟阶段，而是人口治理与劳动力秩序的制度接口。</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第三章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从移民子弟教育到地方公共制度</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华校的本土化不是文化来源的消失，而是责任主体、课程尺度与政治归属的改变。</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第四章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注册、检查与可治理性：1920年代转折</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学校注册制度把华校从社区内部事务变成殖民国家可观察、可分类、可干预的对象。</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第五章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战争、毁坏与重建</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战后重建证明华教连续性不依赖单一建筑或组织，而依赖可再动员的社会关系。</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第六章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芬吴报告与多元马来亚的未竟方案</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芬吴报告不是单纯的华教辩护，而是以三语能力和地方化课程想象复合国民共同体。</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第七章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国家教育与制度分流</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华小进入国民体系、华文中学改制和独中存续，构成同源实践的多重制度后继。</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第八章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董事会：分布式公共治理</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董事会把捐助者、地方领袖、家长、学校与国家连接起来，是共同办学传统的关键承载者。</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第九章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教师与知识再生产</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教师不仅传授语言，也持续翻译国家课程、地方经验与文化记忆。</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筹款、义演与教育公共性</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捐资不是财政不足的附属现象，而是社区通过可见贡献不断确认教育责任的社会仪式。</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第十一章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董总、教总与网络化协调</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全国组织把分散学校的地方问题转换为标准、政策语言、集体谈判与公共记忆。</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第十二章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独中与统考：民间标准的制度生命</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统考体现共同体在国家认证之外生产可信知识标准的能力，同时面临承认与公平争议。</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第十三章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校史、校庆与代际记忆</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校庆与纪念特刊不只是回忆载体，而是把过去的牺牲转换为当代责任的再动员机制。</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第十四章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两个海洋世界</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亚洲海洋网络与欧洲殖民全球化的交叠，为华人社会及华教生成提供结构条件。</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第十五章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马来世界的结构性开放</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华教存续是华人行动、马来海洋文明和建国协商共同生成的结果。</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第十六章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语言合法性的不对称</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英语的殖民来源被国际化遮蔽，华文的本土化却持续受到族群化审视。</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第十七章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三种语言、三个尺度</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国语、国际语与传承语构成世界罕见的大规模社区教育生态。</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第十八章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中国的移动位置</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中国由文明资源、政治中心转为全球华语网络节点，遗产主体始终在马来西亚。</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第十九章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人类如何在迁徙中保存文明</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华教呈现文明再植、移民公民化与非同化型国家建构的世界价值。</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第二十章</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经典著作的证据与图像工程</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每章以主张、原始证据、视觉证据和反证构成可核验闭环。</w:t>
            </w:r>
          </w:p>
        </w:tc>
      </w:tr>
      <w:tr>
        <w:tc>
          <w:tcPr>
            <w:tcW w:type="dxa" w:w="9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结语</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共同国家中的多元文明</w:t>
            </w:r>
          </w:p>
        </w:tc>
        <w:tc>
          <w:tcPr>
            <w:tcW w:type="dxa" w:w="54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马来西亚华教的世界意义，在于展示文明连续与共同公民身份可以共存。</w:t>
            </w:r>
          </w:p>
        </w:tc>
      </w:tr>
    </w:tbl>
    <w:p>
      <w:pPr>
        <w:spacing w:after="20"/>
      </w:pPr>
    </w:p>
    <w:p>
      <w:r>
        <w:br w:type="page"/>
      </w:r>
    </w:p>
    <w:p>
      <w:pPr>
        <w:pStyle w:val="Heading1"/>
      </w:pPr>
      <w:r>
        <w:t>导论　谁在生产教育：从华校史到文明再植</w:t>
      </w:r>
    </w:p>
    <w:p>
      <w:pPr>
        <w:pStyle w:val="Heading2"/>
      </w:pPr>
      <w:r>
        <w:t>一、问题不是学校是否存在，而是谁使学校能够连续存在</w:t>
      </w:r>
    </w:p>
    <w:p>
      <w:r>
        <w:t>有关马来西亚华文教育的叙述，往往从校数、学生数、法令与重大抗争开始。这些材料不可缺少，却容易把最需要解释的事实处理成背景：在跨越殖民统治、战争、独立、教育法令更替、经济危机和人口变化之后，为何一套以华文为重要媒介的教育实践仍能延续？如果把答案归结为“华人重视教育”，研究便停留在文化性格论；如果只归结为国家政策的压迫与社区反抗，又会把学校内部的知识生产、资源转换和代际参与压缩成政治事件的附属物。</w:t>
      </w:r>
    </w:p>
    <w:p>
      <w:r>
        <w:t>本书提出，华教连续性的最低单位不是单所学校，而是能够在学校受损、制度改变或人口移动之后重新聚合资源的关系网络。早期会馆、乡团、商人和家长把资金与房舍转换为学额；董事会把地方信用转换为治理能力；教师把跨地域知识转换为儿童可学习的课程；报刊与公共会议把分散困难转换为共同议题；校友则把受教育经历转换为未来的捐助、管理和声望。华校的连续性，是这些转换反复发生的结果。</w:t>
      </w:r>
    </w:p>
    <w:p>
      <w:pPr>
        <w:pStyle w:val="Heading2"/>
      </w:pPr>
      <w:r>
        <w:t>二、文明再植不是文明移植</w:t>
      </w:r>
    </w:p>
    <w:p>
      <w:r>
        <w:t>“移植”暗示一个已经完成的文明整体被搬运到另一处，“再植”则强调文化资源离开原有政治与社会土壤后，必须在新的法律、经济、语言和族群关系中重新获得生存条件。十九世纪以来抵达马来半岛的华人并非同质共同体。他们具有不同籍贯、方言、行业、阶层与政治经验。共同华文、现代学校、统一课程、教师组织和全国性华教机构，都是在马来亚本土逐步形成的。</w:t>
      </w:r>
    </w:p>
    <w:p>
      <w:r>
        <w:t>因此，马来西亚华教既不能归入中国国家教育史的海外章节，也不能被写成马来西亚社会中的外来残余。它是马来西亚历史内部生成的跨文明制度：文化资源具有跨海来源，组织责任落在本地社会，政治归属经过殖民臣民到国家公民的转化，课程则不断在中华文化、马来西亚经验与全球知识之间重新配比。</w:t>
      </w:r>
    </w:p>
    <w:p>
      <w:pPr>
        <w:pStyle w:val="Heading2"/>
      </w:pPr>
      <w:r>
        <w:t>三、研究方法：结构、关系与变化机制</w:t>
      </w:r>
    </w:p>
    <w:p>
      <w:r>
        <w:t>SDA ScholarOS 在本书中不是一套套用名词的公式，而是一种研究纪律。每一项主张必须回答五个问题：发生在哪里，以什么为载体，处于什么时间尺度，由哪些行动者完成，通过什么机制产生变化。只有当五项相互闭合，材料才足以支持命题。</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296"/>
            <w:shd w:fill="E8EEF2"/>
            <w:vAlign w:val="center"/>
            <w:tcMar>
              <w:top w:w="100" w:type="dxa"/>
              <w:start w:w="120" w:type="dxa"/>
              <w:bottom w:w="100" w:type="dxa"/>
              <w:end w:w="120" w:type="dxa"/>
            </w:tcMar>
          </w:tcPr>
          <w:p>
            <w:r>
              <w:rPr>
                <w:rFonts w:ascii="Noto Sans CJK SC" w:hAnsi="Noto Sans CJK SC" w:eastAsia="Noto Sans CJK SC"/>
                <w:b/>
                <w:sz w:val="18"/>
              </w:rPr>
              <w:t>分析层</w:t>
            </w:r>
          </w:p>
        </w:tc>
        <w:tc>
          <w:tcPr>
            <w:tcW w:type="dxa" w:w="2160"/>
            <w:shd w:fill="E8EEF2"/>
            <w:vAlign w:val="center"/>
            <w:tcMar>
              <w:top w:w="100" w:type="dxa"/>
              <w:start w:w="120" w:type="dxa"/>
              <w:bottom w:w="100" w:type="dxa"/>
              <w:end w:w="120" w:type="dxa"/>
            </w:tcMar>
          </w:tcPr>
          <w:p>
            <w:r>
              <w:rPr>
                <w:rFonts w:ascii="Noto Sans CJK SC" w:hAnsi="Noto Sans CJK SC" w:eastAsia="Noto Sans CJK SC"/>
                <w:b/>
                <w:sz w:val="18"/>
              </w:rPr>
              <w:t>核心变量</w:t>
            </w:r>
          </w:p>
        </w:tc>
        <w:tc>
          <w:tcPr>
            <w:tcW w:type="dxa" w:w="3096"/>
            <w:shd w:fill="E8EEF2"/>
            <w:vAlign w:val="center"/>
            <w:tcMar>
              <w:top w:w="100" w:type="dxa"/>
              <w:start w:w="120" w:type="dxa"/>
              <w:bottom w:w="100" w:type="dxa"/>
              <w:end w:w="120" w:type="dxa"/>
            </w:tcMar>
          </w:tcPr>
          <w:p>
            <w:r>
              <w:rPr>
                <w:rFonts w:ascii="Noto Sans CJK SC" w:hAnsi="Noto Sans CJK SC" w:eastAsia="Noto Sans CJK SC"/>
                <w:b/>
                <w:sz w:val="18"/>
              </w:rPr>
              <w:t>主要证据</w:t>
            </w:r>
          </w:p>
        </w:tc>
        <w:tc>
          <w:tcPr>
            <w:tcW w:type="dxa" w:w="2808"/>
            <w:shd w:fill="E8EEF2"/>
            <w:vAlign w:val="center"/>
            <w:tcMar>
              <w:top w:w="100" w:type="dxa"/>
              <w:start w:w="120" w:type="dxa"/>
              <w:bottom w:w="100" w:type="dxa"/>
              <w:end w:w="120" w:type="dxa"/>
            </w:tcMar>
          </w:tcPr>
          <w:p>
            <w:r>
              <w:rPr>
                <w:rFonts w:ascii="Noto Sans CJK SC" w:hAnsi="Noto Sans CJK SC" w:eastAsia="Noto Sans CJK SC"/>
                <w:b/>
                <w:sz w:val="18"/>
              </w:rPr>
              <w:t>失败条件</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全球层</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海洋网络、殖民资本、人口流动</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航运、人口统计、殖民报告</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若不能证明宏观变化作用于马来亚教育，降为背景</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国家层</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法律、语言政策、财政与认证</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法令、报告、议会记录、预算</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若政策文本与执行脱节，必须补地方材料</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组织层</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董事会、教师组织、董教总、报业</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会议记录、章程、账簿、函件</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若仅有组织自述，不推定代表全部社区</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社区层</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家庭选择、捐助、志愿劳动、校友网络</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口述史、捐款簿、校庆资料、田野</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若只有精英声音，不推定共同体同意</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传承层</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语言、课程、仪式、价值与技能</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课堂观察、教材、师生叙事</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若实践已停止，不能称为活态传承</w:t>
            </w:r>
          </w:p>
        </w:tc>
      </w:tr>
    </w:tbl>
    <w:p>
      <w:pPr>
        <w:spacing w:after="20"/>
      </w:pPr>
    </w:p>
    <w:p>
      <w:pPr>
        <w:pStyle w:val="Heading2"/>
      </w:pPr>
      <w:r>
        <w:t>四、竞争性解释</w:t>
      </w:r>
    </w:p>
    <w:p>
      <w:r>
        <w:t>本书同时检验四种解释。第一，文化偏好论认为华教延续主要来自华人重教传统；它能解释动机，却难以解释不同地区学校能力的差异。第二，政治反应论认为华教是面对同化压力形成的防御；它能解释动员高峰，却不能解释常态治理。第三，经济工具论把华文教育的复兴归因于中国崛起和华语市场价值；它难以解释华语经济价值较低时期的长期投入。第四，精英组织论强调少数领袖、商人和机构；它若不能解释普通家庭持续入学、微额捐款和教师劳动，就不足以说明代际连续。本文的“共同办学结构论”只有在能解释上述解释各自无法覆盖的观察时才成立。</w:t>
      </w:r>
    </w:p>
    <w:p>
      <w:r>
        <w:br w:type="page"/>
      </w:r>
    </w:p>
    <w:p>
      <w:pPr>
        <w:pStyle w:val="Heading1"/>
      </w:pPr>
      <w:r>
        <w:t>第一章　海洋连通与文明脱域</w:t>
      </w:r>
    </w:p>
    <w:p>
      <w:pPr>
        <w:pStyle w:val="Heading2"/>
      </w:pPr>
      <w:r>
        <w:t>一、把“地理大发现”重新放回亚洲海洋世界</w:t>
      </w:r>
    </w:p>
    <w:p>
      <w:r>
        <w:t>十五世纪末以后欧洲远洋扩张改变了全球联系的尺度、武力结构和资本组织，但马六甲海峡并非在欧洲抵达后才进入历史。来自中国、印度、阿拉伯世界与东南亚群岛的航海者、商人和宗教网络，早已使这一地区成为多种语言、信仰与交换制度交会之地。所谓地理大发现的结构意义，不是欧洲首次赋予亚洲联系，而是海上暴力、帝国主权、公司资本与远距离贸易开始以新的方式控制既有网络。</w:t>
      </w:r>
    </w:p>
    <w:p>
      <w:r>
        <w:t>这一重构为后来华教的出现提供了远因：全球贸易扩大对劳动力和商业中介的需求；殖民港口吸引持续人口流入；移民群体在缺少完整公共服务时组织会馆、庙宇、慈善与教育；印刷、轮船和电报又使教材、教师和政治观念能够跨海流通。教育因此成为文明脱离原生地域后重新组织时间、语言和代际关系的关键装置。</w:t>
      </w:r>
    </w:p>
    <w:p>
      <w:pPr>
        <w:pStyle w:val="Heading2"/>
      </w:pPr>
      <w:r>
        <w:t>二、从流动人口到有后代的社会</w:t>
      </w:r>
    </w:p>
    <w:p>
      <w:r>
        <w:t>学校大规模出现需要的不只是移民数量，还需要人口结构从暂时劳工转向家庭与地方社会。殖民人口分类固然带有治理目的，但其统计仍提示重要变化：马来亚华人人口占比在二十世纪前半叶显著上升，性别结构与本地出生人口也逐步变化。当迁移不再只是单身男性的循环流动，儿童教育便从私人安排转化为社区公共问题。</w:t>
      </w:r>
    </w:p>
    <w:p>
      <w:r>
        <w:t>这里不能把人口增长与学校增长直接画等号。真正的机制是家庭化带来稳定的代际需求，商业和社团网络提供资源，会馆与地方领袖提供组织载体，跨海印刷网络提供教材，而殖民政府相对有限且族群分置的教育供给留下制度空间。只有这些条件同时存在，人口才会转化为学校。</w:t>
      </w:r>
    </w:p>
    <w:p>
      <w:pPr>
        <w:pStyle w:val="Heading2"/>
      </w:pPr>
      <w:r>
        <w:t>三、全球史不是装饰性的开篇</w:t>
      </w:r>
    </w:p>
    <w:p>
      <w:r>
        <w:t>如果全球史只占据第一章，而后续分析仍然回到封闭的族群奋斗史，它就只是宏大背景。本书因而持续追踪四种跨尺度关系：全球商品价格如何改变社区筹款能力；帝国战争如何破坏学校却强化本地重建；中国政治和教材如何被马来亚地方化；民族国家语言政策如何把跨海文化资源重新界定为本国教育问题。全球结构必须能够解释地方材料，否则不进入核心论证。</w:t>
      </w:r>
    </w:p>
    <w:p>
      <w:pPr>
        <w:pStyle w:val="Heading1"/>
      </w:pPr>
      <w:r>
        <w:t>第二章　殖民分类与复合教育空间</w:t>
      </w:r>
    </w:p>
    <w:p>
      <w:pPr>
        <w:pStyle w:val="Heading2"/>
      </w:pPr>
      <w:r>
        <w:t>一、教育分流与人口治理</w:t>
      </w:r>
    </w:p>
    <w:p>
      <w:r>
        <w:t>英属马来亚的教育格局长期包含马来文、华文、泰米尔文和英文学校。把这一格局简单描述为殖民政府“自由放任”，会遮蔽放任本身的政治结构：国家并未承担对所有儿童提供同等教育的统一责任，而是让不同人口通过村落、宗教组织、种植园、会馆和传教机构承担不同成本。语言分流因而同时是财政安排、劳动力秩序和族群分类。</w:t>
      </w:r>
    </w:p>
    <w:p>
      <w:r>
        <w:t>殖民国家对华校的态度随政治环境变化。早期容许不等于承认教育权；当中国民族主义、反殖民运动和共产主义被视为安全风险时，学校注册、教师资格、教材检查与巡视成为把学校纳入可治理视野的手段。1920年报刊记录华校校长就联邦马来州教育法案提出请愿，说明学校已不再只是地方社会内部的文化机构，而成为国家规制与社区协商的界面。</w:t>
      </w:r>
    </w:p>
    <w:p>
      <w:pPr>
        <w:pStyle w:val="Heading2"/>
      </w:pPr>
      <w:r>
        <w:t>二、学校注册制度的双重后果</w:t>
      </w:r>
    </w:p>
    <w:p>
      <w:r>
        <w:t>注册和检查扩大了殖民权力，却也促使学校以章程、董事会、账目、课程和教师名册证明自身。国家规制并未简单摧毁社区教育，而是在压缩某些政治与课程空间的同时，推动其组织形式更加稳定。这里出现一个非预期结果：为了在行政体系中存续，华校必须把地方情感转译为可识别的法人、财务和教学制度；这反而为日后的全国联合提供了共同格式。</w:t>
      </w:r>
    </w:p>
    <w:p>
      <w:r>
        <w:t>这一判断需要逐校验证。若档案显示某些学校的制度化主要来自内部改革或现代教育潮流，而非注册压力，就不能把国家规制视为唯一原因。后续档案工作须对照法令文本、教育司年报、巡视记录、学校董事会议与报刊回应。</w:t>
      </w:r>
    </w:p>
    <w:p>
      <w:r>
        <w:br w:type="page"/>
      </w:r>
    </w:p>
    <w:p>
      <w:pPr>
        <w:pStyle w:val="Heading1"/>
      </w:pPr>
      <w:r>
        <w:t>第二编扩写　从侨民教育到马来亚公共制度（1819—1957）</w:t>
      </w:r>
    </w:p>
    <w:p>
      <w:pPr>
        <w:pStyle w:val="Heading2"/>
      </w:pPr>
      <w:r>
        <w:t>一、“1819起点”的证据危机</w:t>
      </w:r>
    </w:p>
    <w:p>
      <w:r>
        <w:t>马来西亚华教史经常以1819年槟城五福书院为开端。这一说法具有强烈的公共记忆力量：它把华教历史与莱佛士开埠新加坡置于同一年，也把两百年连续性凝结为一个可纪念的起点。然而，起点越具有象征性，越必须接受严格核验。现有公开材料一方面反复称五福书院为“有史可考的第一间华文私塾”，另一方面也有马来西亚学者指出，1819年可能是相关会馆或组织成立时间，书院作为教育机构的年代或在1857年，早期叙述又可能把五福书院、慎之学塾和后来的商务小学混为同一条连续谱系。</w:t>
      </w:r>
    </w:p>
    <w:p>
      <w:r>
        <w:t>这不是枝节考据，而是SDA ScholarOS必须保留的竞争结构。H1认为1819年已经存在稳定授课的五福书院；H2认为1819年成立的是会馆或宗祠性质组织，教育功能后来才制度化；H3认为早期存在分散识字教学，但“五福书院”作为华教起源是二十世纪后期形成的纪念性叙事；HU则保留目前尚未找到足够原件、无法判定的状态。在查得1819年前后契约、碑记、账簿、教师或学生记录以前，本书只能说“传统叙述将其追溯至1819年”，不能把它直接写成已经确认的第一所华校。</w:t>
      </w:r>
    </w:p>
    <w:p>
      <w:r>
        <w:t>这种自我修正反而增强遗产论证。非物质文化遗产并不要求找到一座绝对最早的建筑，也不依赖一个未经争议的创校日期。真正需要证明的是：华人社区何时开始把宗祠、会馆、商号信用和地方捐助转化为持续教育；这种办学知识如何从私塾、义学演变为现代学校；共同体今天如何记忆、争论并重新解释自己的起源。起源争议本身也是活态历史意识的一部分。</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944"/>
            <w:shd w:fill="E8EEF2"/>
            <w:vAlign w:val="center"/>
            <w:tcMar>
              <w:top w:w="100" w:type="dxa"/>
              <w:start w:w="120" w:type="dxa"/>
              <w:bottom w:w="100" w:type="dxa"/>
              <w:end w:w="120" w:type="dxa"/>
            </w:tcMar>
          </w:tcPr>
          <w:p>
            <w:r>
              <w:rPr>
                <w:rFonts w:ascii="Noto Sans CJK SC" w:hAnsi="Noto Sans CJK SC" w:eastAsia="Noto Sans CJK SC"/>
                <w:b/>
                <w:sz w:val="18"/>
              </w:rPr>
              <w:t>竞争解释</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可观察预期</w:t>
            </w:r>
          </w:p>
        </w:tc>
        <w:tc>
          <w:tcPr>
            <w:tcW w:type="dxa" w:w="3096"/>
            <w:shd w:fill="E8EEF2"/>
            <w:vAlign w:val="center"/>
            <w:tcMar>
              <w:top w:w="100" w:type="dxa"/>
              <w:start w:w="120" w:type="dxa"/>
              <w:bottom w:w="100" w:type="dxa"/>
              <w:end w:w="120" w:type="dxa"/>
            </w:tcMar>
          </w:tcPr>
          <w:p>
            <w:r>
              <w:rPr>
                <w:rFonts w:ascii="Noto Sans CJK SC" w:hAnsi="Noto Sans CJK SC" w:eastAsia="Noto Sans CJK SC"/>
                <w:b/>
                <w:sz w:val="18"/>
              </w:rPr>
              <w:t>关键证据</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当前状态</w:t>
            </w:r>
          </w:p>
        </w:tc>
      </w:tr>
      <w:tr>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H1：1819学校起源</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1819年前后已有授课、教师、学生或教育经费记录</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原始碑记、账簿、契约、地方报刊与家族文书</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待核，不作定论</w:t>
            </w:r>
          </w:p>
        </w:tc>
      </w:tr>
      <w:tr>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H2：组织先于学校</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1819可证会馆/宗祠，教育活动在更晚时期制度化</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组织章程与历次名称、用途、地址变化</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公开研究提示此可能</w:t>
            </w:r>
          </w:p>
        </w:tc>
      </w:tr>
      <w:tr>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H3：纪念性起点</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“1819第一校”主要在1980年代以后被固定</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董教总出版物、校庆文本与早期地方史版本比较</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已有线索，需追溯文本谱系</w:t>
            </w:r>
          </w:p>
        </w:tc>
      </w:tr>
      <w:tr>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HU：材料不足</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现有材料不能区分零散教学与正式学校</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新增原件仍无法闭合地点、载体、行动者和机制</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必须保留</w:t>
            </w:r>
          </w:p>
        </w:tc>
      </w:tr>
    </w:tbl>
    <w:p>
      <w:pPr>
        <w:spacing w:after="20"/>
      </w:pPr>
    </w:p>
    <w:p>
      <w:pPr>
        <w:pStyle w:val="Heading2"/>
      </w:pPr>
      <w:r>
        <w:t>二、从书塾到现代学校：组织功能的第一次转换</w:t>
      </w:r>
    </w:p>
    <w:p>
      <w:r>
        <w:t>十九世纪早期的教育往往嵌入宗祠、会馆、庙宇和地方互助组织。它首先满足识字、书信、算盘、经典伦理和商业交往的需要，并以籍贯、方言或宗族关系组织资源。进入十九世纪末至二十世纪初以后，学校开始发生现代制度转换：固定年级与课程出现，校长和专职教师角色强化，女子教育、体育、科学及现代公民知识逐渐进入校园，筹资也从熟人捐助扩展为报刊号召和跨区域公共运动。</w:t>
      </w:r>
    </w:p>
    <w:p>
      <w:r>
        <w:t>这一变化不能只归因于清末新政或中国民族主义。中国教育改革确实提供课程、教师和政治想象，轮船与印刷又加速教材流通；但学校能否持续，仍取决于马来亚地方经济、家庭定居、董事治理、殖民法规和不同方言群体的合作。现代华校由此同时是跨海知识传播的结果与本地社会组织化的结果。</w:t>
      </w:r>
    </w:p>
    <w:p>
      <w:r>
        <w:t>槟城锺灵学校可作为这一转换的候选个案。公开校史将其创办追溯至1917年，初期借用商店楼上空间，董事会、报刊人物与地方商人共同组织，后来扩展中学部并建设新校园。其价值不在于“名校成功史”，而在于可以追踪地方信用如何转化为校产、捐款如何获得公共可见性、教师如何连接中国新教育与马来亚社会，以及学校如何在政治动员与日常教学之间调整自身。所有人数、捐款与具体日期仍须以校档、同期报刊和殖民报告互证。</w:t>
      </w:r>
    </w:p>
    <w:p>
      <w:pPr>
        <w:pStyle w:val="Heading2"/>
      </w:pPr>
      <w:r>
        <w:t>三、1920年：学校成为殖民国家的可治理对象</w:t>
      </w:r>
    </w:p>
    <w:p>
      <w:r>
        <w:t>1920年海峡殖民地与马来联邦相继推进学校注册立法，是华教结构史的重要转折。在此之前，殖民政府并非完全看不见华校，却缺少把学校、管理者和教师持续纳入统一登记的制度接口。新法要求私立学校及其管理者、教师注册，并赋予行政机关制定规则、监督人员与活动、在认定涉及革命政治时采取关闭措施的权力。学校由此从社区内部事务转化为殖民国家可观察、可分类、可许可也可禁止的对象。</w:t>
      </w:r>
    </w:p>
    <w:p>
      <w:r>
        <w:t>殖民安全是直接动力之一。1919年前后华校师生参与反日与中国政治活动，使殖民当局担忧学校成为跨境民族主义和革命思想的节点。但“安全控制”仍不能解释全部后果。登记制度要求学校提交名称、地点、管理者、教师与变更信息；补助制度又把财政支持与接受检查连接起来。控制由此产生一个非预期的组织效应：社区学校为了生存，必须把声望、捐助和教学惯例翻译成章程、名册、账目和行政责任。后来全国性华教组织能够联结不同学校，部分依赖这种共同的制度格式。</w:t>
      </w:r>
    </w:p>
    <w:p>
      <w:r>
        <w:t>这一命题必须防止倒置因果。现代学校在1920年前已经出现，组织化并非殖民法令单独创造；不同学校也可能因规模、地区和政治倾向而受到不同影响。正式章节须比较法令原文、立法会议辩论、华校校长请愿、教育司年度报告、学校注册档案和华文报刊回应，以判断规制究竟改变了哪些行为，而不是仅凭法令存在推定执行结果。</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结构阶段</w:t>
            </w:r>
          </w:p>
        </w:tc>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学校的主要授权</w:t>
            </w:r>
          </w:p>
        </w:tc>
        <w:tc>
          <w:tcPr>
            <w:tcW w:type="dxa" w:w="2160"/>
            <w:shd w:fill="E8EEF2"/>
            <w:vAlign w:val="center"/>
            <w:tcMar>
              <w:top w:w="100" w:type="dxa"/>
              <w:start w:w="120" w:type="dxa"/>
              <w:bottom w:w="100" w:type="dxa"/>
              <w:end w:w="120" w:type="dxa"/>
            </w:tcMar>
          </w:tcPr>
          <w:p>
            <w:r>
              <w:rPr>
                <w:rFonts w:ascii="Noto Sans CJK SC" w:hAnsi="Noto Sans CJK SC" w:eastAsia="Noto Sans CJK SC"/>
                <w:b/>
                <w:sz w:val="18"/>
              </w:rPr>
              <w:t>国家观察能力</w:t>
            </w:r>
          </w:p>
        </w:tc>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社区应对</w:t>
            </w:r>
          </w:p>
        </w:tc>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遗产意义</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注册以前</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地方声望、宗亲/会馆与家长信任</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零散巡视与有限统计</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以关系和捐助维持</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共同办学知识主要内嵌于地方网络</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1920注册以后</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地方授权与行政许可并存</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登记学校、管理者、教师及活动</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形成名册、章程、账目与公共申辩</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社区知识开始转化为可记录制度</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补助与检查深化</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财政资格、课程合规与社区支持交叠</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通过拨款、教材、教师和巡视持续介入</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接受、协商、规避或拒绝</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国家—社区双重结构逐渐形成</w:t>
            </w:r>
          </w:p>
        </w:tc>
      </w:tr>
    </w:tbl>
    <w:p>
      <w:pPr>
        <w:spacing w:after="20"/>
      </w:pPr>
    </w:p>
    <w:p>
      <w:pPr>
        <w:pStyle w:val="Heading2"/>
      </w:pPr>
      <w:r>
        <w:t>四、战争断裂与关系性重建</w:t>
      </w:r>
    </w:p>
    <w:p>
      <w:r>
        <w:t>1941至1945年的战争与日本占领构成华教连续性的最严厉检验。大量华校停办，教师、董事和学生遭受暴力与迁徙，校舍被占用，账簿、教材与组织档案散失。若把遗产连续理解为校舍不变、法人不变或课堂从未中断，华教在这一时期显然断裂；若把连续理解为共同体保有重建学校的知识、责任与网络，则战后复校提供了另一种证据。</w:t>
      </w:r>
    </w:p>
    <w:p>
      <w:r>
        <w:t>公开研究引述战前已有一千四百余所华校、十二万余名学生；1946年马来亚教育年度报告的数据则被二手研究转引为1105所华校、172101名学生和4513名教师。两组数字的统计地域、学校定义与时间点并不相同，不能直接据此宣称战后“完全恢复”或“超过战前”。它们当前只能支持一个待核方向：复校速度和学生需求相当可观，必须回到1937、1946、1948和1949年度报告建立可比序列。</w:t>
      </w:r>
    </w:p>
    <w:p>
      <w:r>
        <w:t>锺灵复校的公开叙述提供了微观线索：1945年9月已有原教职员讨论重建，年底恢复上课，次年学生人数迅速增加。正式书稿不能只采用学校英雄叙事，而要核验复校所需的校舍修复、教师召回、寄宿安排、学费与捐款、教材来源及殖民行政许可。只有这些载体闭合，才能说明“关系性连续”如何在战争摧毁实体后重新生成学校。</w:t>
      </w:r>
    </w:p>
    <w:p>
      <w:pPr>
        <w:pStyle w:val="Heading2"/>
      </w:pPr>
      <w:r>
        <w:t>五、1951—1957：从中国参照到马来亚本位</w:t>
      </w:r>
    </w:p>
    <w:p>
      <w:r>
        <w:t>战后华教面对的根本问题已经改变。学校不再只是恢复战前状态，而必须回答即将出现的民族国家需要何种国民、何种共同课程，以及华文教育能否在新的政治共同体中获得正当位置。巴恩报告、芬吴报告、1952年教育条例、1956年拉萨报告与1957年教育条例，不应被排列成政策年表，而应视为对同一结构问题的竞争性回答。</w:t>
      </w:r>
    </w:p>
    <w:p>
      <w:r>
        <w:t>芬吴报告的重要性在于，它没有把保存华文与形成马来亚共同体设为必然对立。报告提出马来语、英语与华语的功能安排，批评教材中过度依赖中国内容，并主张以马来亚为中心而保存中华文化。这标志着华教合法性的重心开始转移：不再主要以中国民族教育的海外延伸自我说明，而要以马来亚社会的教育需要、儿童未来和多元共同体自我说明。</w:t>
      </w:r>
    </w:p>
    <w:p>
      <w:r>
        <w:t>拉萨报告则把不同学校置入统一国家教育体系、共同课程与国语发展目标之中。它既为华文小学进入国家体系留下制度位置，也把国家标准、财政和语言目标更深地带入学校。这里不能使用“胜利”或“失败”的单一判断：华教获得制度承认，同时交出部分自主；国家形成共同教育框架，同时没有彻底消除语言差异。马来西亚后来独特的国家—社区双重教育结构，正是在这种不完全解决中形成。</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文本节点</w:t>
            </w:r>
          </w:p>
        </w:tc>
        <w:tc>
          <w:tcPr>
            <w:tcW w:type="dxa" w:w="2664"/>
            <w:shd w:fill="E8EEF2"/>
            <w:vAlign w:val="center"/>
            <w:tcMar>
              <w:top w:w="100" w:type="dxa"/>
              <w:start w:w="120" w:type="dxa"/>
              <w:bottom w:w="100" w:type="dxa"/>
              <w:end w:w="120" w:type="dxa"/>
            </w:tcMar>
          </w:tcPr>
          <w:p>
            <w:r>
              <w:rPr>
                <w:rFonts w:ascii="Noto Sans CJK SC" w:hAnsi="Noto Sans CJK SC" w:eastAsia="Noto Sans CJK SC"/>
                <w:b/>
                <w:sz w:val="18"/>
              </w:rPr>
              <w:t>主要结构问题</w:t>
            </w:r>
          </w:p>
        </w:tc>
        <w:tc>
          <w:tcPr>
            <w:tcW w:type="dxa" w:w="3024"/>
            <w:shd w:fill="E8EEF2"/>
            <w:vAlign w:val="center"/>
            <w:tcMar>
              <w:top w:w="100" w:type="dxa"/>
              <w:start w:w="120" w:type="dxa"/>
              <w:bottom w:w="100" w:type="dxa"/>
              <w:end w:w="120" w:type="dxa"/>
            </w:tcMar>
          </w:tcPr>
          <w:p>
            <w:r>
              <w:rPr>
                <w:rFonts w:ascii="Noto Sans CJK SC" w:hAnsi="Noto Sans CJK SC" w:eastAsia="Noto Sans CJK SC"/>
                <w:b/>
                <w:sz w:val="18"/>
              </w:rPr>
              <w:t>华教位置变化</w:t>
            </w:r>
          </w:p>
        </w:tc>
        <w:tc>
          <w:tcPr>
            <w:tcW w:type="dxa" w:w="2736"/>
            <w:shd w:fill="E8EEF2"/>
            <w:vAlign w:val="center"/>
            <w:tcMar>
              <w:top w:w="100" w:type="dxa"/>
              <w:start w:w="120" w:type="dxa"/>
              <w:bottom w:w="100" w:type="dxa"/>
              <w:end w:w="120" w:type="dxa"/>
            </w:tcMar>
          </w:tcPr>
          <w:p>
            <w:r>
              <w:rPr>
                <w:rFonts w:ascii="Noto Sans CJK SC" w:hAnsi="Noto Sans CJK SC" w:eastAsia="Noto Sans CJK SC"/>
                <w:b/>
                <w:sz w:val="18"/>
              </w:rPr>
              <w:t>需核原文</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巴恩报告（1951）</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以何种学校和语言创造共同马来亚国民</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华校被置于统一国民学校方案压力下</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报告正文、委员背景、华社回应</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芬吴报告（1951）</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多语、文化保存与马来亚本位能否并存</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由“中国学校”转向“华人马来亚人的教育”</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报告全文、教材批评与三语表述</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教育条例（1952）</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殖民政府如何在竞争方案间立法</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制度方向确定但实施受财政政治限制</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条例及执行报告</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拉萨报告（1956）</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独立国家如何建立统一而非单一的教育体系</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华文小学进入国民型学校框架</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原文各语言版本及会议记录</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教育条例（1957）</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如何把建国协商转化为行政制度</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共同课程、补助与学校类别制度化</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条例、拨款和州级执行档案</w:t>
            </w:r>
          </w:p>
        </w:tc>
      </w:tr>
    </w:tbl>
    <w:p>
      <w:pPr>
        <w:spacing w:after="20"/>
      </w:pPr>
    </w:p>
    <w:p>
      <w:pPr>
        <w:pStyle w:val="Heading2"/>
      </w:pPr>
      <w:r>
        <w:t>六、第二编的暂时结论</w:t>
      </w:r>
    </w:p>
    <w:p>
      <w:r>
        <w:t>1819至1957年的历史不能被压缩成华人社会不断抵抗国家压迫的直线。更接近事实的结构是：地方社群先把宗亲、商业与慈善资源转换为教育；中国现代化提供新课程与政治语言；殖民国家把学校纳入登记、检查和补助；战争摧毁物质载体却暴露社区重建能力；去殖民化又迫使华教从侨民教育转向马来亚公民教育。每一次压力都改变了承载形式，但共同办学、华文知识传递与对下一代负责的核心功能得到重新组合。</w:t>
      </w:r>
    </w:p>
    <w:p>
      <w:r>
        <w:t>这一结论目前属于理论工作稿。起源年代、学校数量、复校速度、政策执行差异和普通家庭参与仍需一手档案与跨州校史验证。书稿必须保留失败可能：如果主要学校长期仅由少数精英维持、普通家庭缺乏参与；如果“马来亚本位”只停留在政策语言而没有进入教材与课堂；如果战后复校主要依赖殖民财政而非社区网络，则“共同办学结构论”的强版本必须相应降级。</w:t>
      </w:r>
    </w:p>
    <w:p>
      <w:pPr>
        <w:pStyle w:val="Heading1"/>
      </w:pPr>
      <w:r>
        <w:t>第三章　战争、重建与关系性连续</w:t>
      </w:r>
    </w:p>
    <w:p>
      <w:r>
        <w:t>日本占领造成学校停办、人员伤亡、档案散失和组织中断。若以建筑、法人或连续授课作为唯一标准，华教史在战争中会出现断裂；但战后大量学校得以复校，说明连续性存在于可重新激活的关系之中。校友、教师、商人、会馆和地方家庭重新筹资、寻找校舍与恢复课程，把战争前的记忆转化为战后行动。</w:t>
      </w:r>
    </w:p>
    <w:p>
      <w:r>
        <w:t>这一区分对非遗论证至关重要。文化连续不是物质不变，也不是制度从未中断，而是共同体是否保有使实践再次发生的知识、责任和组织能力。保护华教因而不能只保存老校舍或纪念人物，还要保护筹资、治理、教学、纪念和校友参与这些关系性能力。</w:t>
      </w:r>
    </w:p>
    <w:p>
      <w:pPr>
        <w:pStyle w:val="Heading1"/>
      </w:pPr>
      <w:r>
        <w:t>第四章　芬吴报告：多元国家的未竟方案</w:t>
      </w:r>
    </w:p>
    <w:p>
      <w:r>
        <w:t>1951年公布的芬吴报告通常被置于巴恩报告引起的华教危机中理解。这一语境正确，却不足以揭示其思想含量。报告提出马来语作为官方语言、英语作为商业语言、华文作为文化语言的三语构想，并主张增加资助、改善师资、以现代教育方法编写以马来亚为中心而保存华人文化传统的教材。它试图解决的不是“保留旧式中国学校”，而是如何使华校成为未来马来亚共同体的一部分。</w:t>
      </w:r>
    </w:p>
    <w:p>
      <w:r>
        <w:t>芬吴方案的关键是同时改变三条关系：华文教育与中国政治中心的关系、族群文化与马来亚地方认同的关系、共同国民身份与语言多样性的关系。它既拒绝以单一学校消除差异，也不主张把华校封闭为族群飞地。其未竟之处在于，三语能力与地方化课程并未自动解决财政权力、国家标准和政治信任问题。</w:t>
      </w:r>
    </w:p>
    <w:p>
      <w:r>
        <w:t>从今天回看，芬吴报告提供了申遗叙事的重要历史支点：马来西亚华教的遗产价值不能建立在拒绝本土化之上，恰恰要建立在长期把跨海文化传统转化为马来西亚知识与公民能力的实践之上。</w:t>
      </w:r>
    </w:p>
    <w:p>
      <w:pPr>
        <w:pStyle w:val="Heading1"/>
      </w:pPr>
      <w:r>
        <w:t>第五章　制度分流：华小、改制中学与独中</w:t>
      </w:r>
    </w:p>
    <w:p>
      <w:r>
        <w:t>独立前后的教育重组没有让华教简单消失或完整保留，而是产生不同制度后继。华文小学作为国民型学校进入国家体系，在课程、财政与行政上接受国家规制，同时保留华文为主要教学媒介；多数华文中学改制，未改制者以独立中学形式继续；高等教育则经过独立大学运动、新纪元等机构的长期探索。</w:t>
      </w:r>
    </w:p>
    <w:p>
      <w:r>
        <w:t>这种分流揭示华教不是单一组织形态。相同的文化目标可以通过国家体系内的协商、体系外的社会供给和高等教育创新分别实现。把其中任何一支视为“真正华教”，都会遮蔽共同办学传统的适应能力。更准确的分析是考察每种后继形态保存了哪些功能、改变了哪些载体、由谁承担成本、获得何种授权。</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728"/>
            <w:shd w:fill="E8EEF2"/>
            <w:vAlign w:val="center"/>
            <w:tcMar>
              <w:top w:w="100" w:type="dxa"/>
              <w:start w:w="120" w:type="dxa"/>
              <w:bottom w:w="100" w:type="dxa"/>
              <w:end w:w="120" w:type="dxa"/>
            </w:tcMar>
          </w:tcPr>
          <w:p>
            <w:r>
              <w:rPr>
                <w:rFonts w:ascii="Noto Sans CJK SC" w:hAnsi="Noto Sans CJK SC" w:eastAsia="Noto Sans CJK SC"/>
                <w:b/>
                <w:sz w:val="18"/>
              </w:rPr>
              <w:t>制度后继</w:t>
            </w:r>
          </w:p>
        </w:tc>
        <w:tc>
          <w:tcPr>
            <w:tcW w:type="dxa" w:w="2448"/>
            <w:shd w:fill="E8EEF2"/>
            <w:vAlign w:val="center"/>
            <w:tcMar>
              <w:top w:w="100" w:type="dxa"/>
              <w:start w:w="120" w:type="dxa"/>
              <w:bottom w:w="100" w:type="dxa"/>
              <w:end w:w="120" w:type="dxa"/>
            </w:tcMar>
          </w:tcPr>
          <w:p>
            <w:r>
              <w:rPr>
                <w:rFonts w:ascii="Noto Sans CJK SC" w:hAnsi="Noto Sans CJK SC" w:eastAsia="Noto Sans CJK SC"/>
                <w:b/>
                <w:sz w:val="18"/>
              </w:rPr>
              <w:t>主要载体</w:t>
            </w:r>
          </w:p>
        </w:tc>
        <w:tc>
          <w:tcPr>
            <w:tcW w:type="dxa" w:w="2664"/>
            <w:shd w:fill="E8EEF2"/>
            <w:vAlign w:val="center"/>
            <w:tcMar>
              <w:top w:w="100" w:type="dxa"/>
              <w:start w:w="120" w:type="dxa"/>
              <w:bottom w:w="100" w:type="dxa"/>
              <w:end w:w="120" w:type="dxa"/>
            </w:tcMar>
          </w:tcPr>
          <w:p>
            <w:r>
              <w:rPr>
                <w:rFonts w:ascii="Noto Sans CJK SC" w:hAnsi="Noto Sans CJK SC" w:eastAsia="Noto Sans CJK SC"/>
                <w:b/>
                <w:sz w:val="18"/>
              </w:rPr>
              <w:t>保留功能</w:t>
            </w:r>
          </w:p>
        </w:tc>
        <w:tc>
          <w:tcPr>
            <w:tcW w:type="dxa" w:w="2520"/>
            <w:shd w:fill="E8EEF2"/>
            <w:vAlign w:val="center"/>
            <w:tcMar>
              <w:top w:w="100" w:type="dxa"/>
              <w:start w:w="120" w:type="dxa"/>
              <w:bottom w:w="100" w:type="dxa"/>
              <w:end w:w="120" w:type="dxa"/>
            </w:tcMar>
          </w:tcPr>
          <w:p>
            <w:r>
              <w:rPr>
                <w:rFonts w:ascii="Noto Sans CJK SC" w:hAnsi="Noto Sans CJK SC" w:eastAsia="Noto Sans CJK SC"/>
                <w:b/>
                <w:sz w:val="18"/>
              </w:rPr>
              <w:t>结构代价</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国民型华文小学</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国家体系内学校与地方董事会</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华文教学、社区参与、三语基础</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课程与财政自主受限</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华文独立中学</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民办学校、董事会、学费与捐助</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华文中等教育、校本治理、统考</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认证、财政与可及性压力</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改制中学</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国民教育体系</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校史、部分文化与校友网络</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教学媒介变化</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民办高等教育</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学院、大学与社会基金</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华文知识向高等教育延伸</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市场化与学术资源压力</w:t>
            </w:r>
          </w:p>
        </w:tc>
      </w:tr>
    </w:tbl>
    <w:p>
      <w:pPr>
        <w:spacing w:after="20"/>
      </w:pPr>
    </w:p>
    <w:p>
      <w:pPr>
        <w:pStyle w:val="Heading1"/>
      </w:pPr>
      <w:r>
        <w:t>第六章　董事会：分布式公共治理</w:t>
      </w:r>
    </w:p>
    <w:p>
      <w:r>
        <w:t>华校董事会常被当作学校行政史的一部分，实际上它是共同办学传统最具制度原创性的结构。董事会既不是国家官僚机构，也不只是私人业主；它通常通过地方声望、捐助网络、社团代表性和学校责任获得权威，把社会资源转换为校舍、教师工资、设备和公共谈判能力。</w:t>
      </w:r>
    </w:p>
    <w:p>
      <w:r>
        <w:t>“分布式”不是赞美词。地方自治能够快速响应，也可能产生代表性不足、财务不透明、代际封闭或专业治理欠缺。申遗不能把现有董事会权力神圣化，而应识别其中可传承的知识：如何募集资源、形成信任、协调利益、承担长期责任，以及如何在现代透明度、性别平等、青年参与和跨族群开放的条件下更新这些知识。</w:t>
      </w:r>
    </w:p>
    <w:p>
      <w:r>
        <w:t>董总1954年成立并联结各州华校董事组织，使分散治理获得全国协调接口。全国组织不是地方共同体的替代者，而是把个别学校难以处理的问题转换为政策研究、课程标准、教师发展、法律论证和公共倡议。地方节点与全国接口的并存，是这一传统能够抵抗单点失败的重要原因。</w:t>
      </w:r>
    </w:p>
    <w:p>
      <w:pPr>
        <w:pStyle w:val="Heading1"/>
      </w:pPr>
      <w:r>
        <w:t>第七章　筹款与义演：从财政补缺到公共仪式</w:t>
      </w:r>
    </w:p>
    <w:p>
      <w:r>
        <w:t>把华校筹款解释为政府拨款不足的结果，只说明了必要性，没有解释它为何能长期重复并形成高度可识别的社会形式。捐款簿、义卖、义演、校庆认捐、企业赞助与校友基金，把私人财富转化为公共教育资源，也把“谁应对下一代负责”变成可以被观看、记录和评价的社会行动。</w:t>
      </w:r>
    </w:p>
    <w:p>
      <w:r>
        <w:t>长期华教义演尤其值得作为活态实践研究。公开资料显示，不同品牌和报业推动的义演延续数十年，累计覆盖数百所学校并形成巨额筹款。数字必须逐项审计，但其结构意义已经清楚：表演、媒体传播、企业资源、学校董事会、家长动员和地方捐助者在同一事件中汇合。义演不只是融资工具，而是社区周期性重申教育责任的公共仪式。</w:t>
      </w:r>
    </w:p>
    <w:p>
      <w:r>
        <w:t>然而，2024年围绕酒类企业参与学校筹款的争议显示，这一传统处于多元宗教、儿童保护、商业品牌与教育规范的交叉处。活态遗产保护不能把既有形式冻结下来，而要允许共同体与国家协商更具包容性和透明度的新形式。争议不是遗产价值的反面，反而揭示实践仍然活着，并持续受到社会规范的重新塑造。</w:t>
      </w:r>
    </w:p>
    <w:p>
      <w:pPr>
        <w:pStyle w:val="Heading1"/>
      </w:pPr>
      <w:r>
        <w:t>第八章　教师、课程与三语知识</w:t>
      </w:r>
    </w:p>
    <w:p>
      <w:r>
        <w:t>学校能否延续，最终要在课堂中被检验。教师把华文作为知识媒介，同时必须处理马来语的国家语言地位、英语的全球功能以及学生家庭语言的变化。马来西亚华教因此不是单语保存工程，而是长期的多语教育实验。三语并存并不意味着三种语言地位相等，也不保证学生都达到同等能力；它要求持续进行课程时间、教师资源和身份意义的配置。</w:t>
      </w:r>
    </w:p>
    <w:p>
      <w:r>
        <w:t>教师是文明再植的翻译者。他们并非把中国教材原样传授，而是把历史、文学、科学与伦理放入马来西亚的地方经验和国家课程中。未来田野必须进入课堂，观察同一知识如何在不同语言间转换、哪些文化内容被保留、哪些被本地化、非华裔学生如何参与，以及数字平台是否改变教师的中介角色。</w:t>
      </w:r>
    </w:p>
    <w:p>
      <w:pPr>
        <w:pStyle w:val="Heading1"/>
      </w:pPr>
      <w:r>
        <w:t>第九章　校史、校庆与代际记忆</w:t>
      </w:r>
    </w:p>
    <w:p>
      <w:r>
        <w:t>许多华校通过周年纪念特刊、校史展、校歌、纪念碑、老照片、口述史与校友大会保存记忆。这些材料不能只被当作事实仓库，因为它们本身就在选择历史：创校人、捐款者和危机往往被突出，女性劳动、普通家庭、清洁与后勤人员、非华裔参与者以及失败的改革容易被遗漏。</w:t>
      </w:r>
    </w:p>
    <w:p>
      <w:r>
        <w:t>校庆的结构功能，是把过去的贡献转化为现在的义务。老校友重返校园，创校故事重新讲述，捐款名录再次公开，学生被置入一条跨代时间链。遗产研究应同时分析记忆如何动员共同体，以及哪些人被排除在可纪念的历史之外。只有把被遮蔽的参与者重新纳入，申遗所声称的共同体代表性才具有可信度。</w:t>
      </w:r>
    </w:p>
    <w:p>
      <w:pPr>
        <w:pStyle w:val="Heading1"/>
      </w:pPr>
      <w:r>
        <w:t>第十章　从族群权利到多元文明的公共价值</w:t>
      </w:r>
    </w:p>
    <w:p>
      <w:r>
        <w:t>华教首先涉及母语教育和文化传承权，但世界遗产价值不能止步于某一群体维护自身利益。它必须说明这一实践如何增进文化多样性的可见性、促进不同共同体相互尊重，并为当代社会提供可分享的知识。</w:t>
      </w:r>
    </w:p>
    <w:p>
      <w:r>
        <w:t>马来西亚华教可能提供的公共价值有三层。第一，它培养能在华文、马来文和英文之间移动的多语公民。第二，它展示社会能够在国家之外补充生产公共教育资源。第三，它保留一种不要求文化来源与政治忠诚完全重合的公民模式：华文文化来源可以跨地域，教育实践和国家归属则明确扎根马来西亚。</w:t>
      </w:r>
    </w:p>
    <w:p>
      <w:r>
        <w:t>这三项价值都必须接受经验检验。若华校在招生、课程或校园文化上事实上排斥其他族群，跨族群价值就不能只靠宣言成立；若筹资负担造成阶层排除，社区自治也不能被浪漫化；若历史教学无法充分纳入马来、印度、原住民与东南亚经验，“马来西亚化”仍只是未完成目标。顶刊水平的章节必须把这些失败条件写进论证。</w:t>
      </w:r>
    </w:p>
    <w:p>
      <w:pPr>
        <w:pStyle w:val="Heading1"/>
      </w:pPr>
      <w:r>
        <w:t>第十一章　把华教识别为活态遗产</w:t>
      </w:r>
    </w:p>
    <w:p>
      <w:pPr>
        <w:pStyle w:val="Heading2"/>
      </w:pPr>
      <w:r>
        <w:t>一、申报对象</w:t>
      </w:r>
    </w:p>
    <w:p>
      <w:r>
        <w:t>建议对象名称为“马来西亚华人社区共同办学及华文知识传承传统”。对象不是全部教育制度，也不是所有华校建筑，而是相关社区在创办、治理、筹资、教学、纪念和代际参与中形成并持续更新的知识与实践。</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728"/>
            <w:shd w:fill="E8EEF2"/>
            <w:vAlign w:val="center"/>
            <w:tcMar>
              <w:top w:w="100" w:type="dxa"/>
              <w:start w:w="120" w:type="dxa"/>
              <w:bottom w:w="100" w:type="dxa"/>
              <w:end w:w="120" w:type="dxa"/>
            </w:tcMar>
          </w:tcPr>
          <w:p>
            <w:r>
              <w:rPr>
                <w:rFonts w:ascii="Noto Sans CJK SC" w:hAnsi="Noto Sans CJK SC" w:eastAsia="Noto Sans CJK SC"/>
                <w:b/>
                <w:sz w:val="18"/>
              </w:rPr>
              <w:t>构成要素</w:t>
            </w:r>
          </w:p>
        </w:tc>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承载者</w:t>
            </w:r>
          </w:p>
        </w:tc>
        <w:tc>
          <w:tcPr>
            <w:tcW w:type="dxa" w:w="2376"/>
            <w:shd w:fill="E8EEF2"/>
            <w:vAlign w:val="center"/>
            <w:tcMar>
              <w:top w:w="100" w:type="dxa"/>
              <w:start w:w="120" w:type="dxa"/>
              <w:bottom w:w="100" w:type="dxa"/>
              <w:end w:w="120" w:type="dxa"/>
            </w:tcMar>
          </w:tcPr>
          <w:p>
            <w:r>
              <w:rPr>
                <w:rFonts w:ascii="Noto Sans CJK SC" w:hAnsi="Noto Sans CJK SC" w:eastAsia="Noto Sans CJK SC"/>
                <w:b/>
                <w:sz w:val="18"/>
              </w:rPr>
              <w:t>传递方式</w:t>
            </w:r>
          </w:p>
        </w:tc>
        <w:tc>
          <w:tcPr>
            <w:tcW w:type="dxa" w:w="3168"/>
            <w:shd w:fill="E8EEF2"/>
            <w:vAlign w:val="center"/>
            <w:tcMar>
              <w:top w:w="100" w:type="dxa"/>
              <w:start w:w="120" w:type="dxa"/>
              <w:bottom w:w="100" w:type="dxa"/>
              <w:end w:w="120" w:type="dxa"/>
            </w:tcMar>
          </w:tcPr>
          <w:p>
            <w:r>
              <w:rPr>
                <w:rFonts w:ascii="Noto Sans CJK SC" w:hAnsi="Noto Sans CJK SC" w:eastAsia="Noto Sans CJK SC"/>
                <w:b/>
                <w:sz w:val="18"/>
              </w:rPr>
              <w:t>可见证据</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共同办学知识</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董事、地方社团、家长、校友</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参与治理、师徒带领、组织惯例</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章程、会议记录、捐款簿、访谈</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华文知识传承</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教师、学生、教材编写者</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课堂、阅读、写作、课外活动</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教材、教案、课堂影像、学生作品</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公共筹资实践</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学校、媒体、企业、地方公众</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义演、义卖、认捐、基金</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账簿、海报、节目单、报刊</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记忆与责任传递</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校友、家庭、学校史工作者</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校庆、校史、纪念仪式</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特刊、照片、校歌、口述史</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多语适应知识</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教师、家庭、课程机构</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三语教学与跨语转换</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课程表、语言实践、学习记录</w:t>
            </w:r>
          </w:p>
        </w:tc>
      </w:tr>
    </w:tbl>
    <w:p>
      <w:pPr>
        <w:spacing w:after="20"/>
      </w:pPr>
    </w:p>
    <w:p>
      <w:pPr>
        <w:pStyle w:val="Heading2"/>
      </w:pPr>
      <w:r>
        <w:t>二、边界</w:t>
      </w:r>
    </w:p>
    <w:p>
      <w:r>
        <w:t>国家课程本身、学历认证权、学校不动产和任何组织的行政权力，不应被申报为非物质文化遗产。遗产身份也不能阻止课程改革、治理问责或国家依法监管。保护的对象是使共同体持续生产教育的知识与实践，而不是让现行制度免于改变。</w:t>
      </w:r>
    </w:p>
    <w:p>
      <w:pPr>
        <w:pStyle w:val="Heading2"/>
      </w:pPr>
      <w:r>
        <w:t>三、承载共同体不是一个抽象“华社”</w:t>
      </w:r>
    </w:p>
    <w:p>
      <w:r>
        <w:t>申报必须具体识别承载者：不同州属的学校董事会、教师、在校生与毕业生、家长、校友会、董教总机构、地方会馆和长期参与筹资的公众。不同群体对遗产边界可能有不同意见。社区同意必须通过多地点、多代际和多角色参与形成，不能由一个全国组织替代所有学校和家庭表达。</w:t>
      </w:r>
    </w:p>
    <w:p>
      <w:pPr>
        <w:pStyle w:val="Heading1"/>
      </w:pPr>
      <w:r>
        <w:t>第十二章　UNESCO 路径与保护计划</w:t>
      </w:r>
    </w:p>
    <w:p>
      <w:r>
        <w:t>联合国教科文组织的非物质文化遗产制度强调共同体认同、活态传承、保护措施、参与和知情同意。拟议项目首先需要进入马来西亚境内的相关非遗清单，然后才可能由马来西亚政府提交国际申报。学术专著可以建立概念和证据基础，却不能替代国家程序与共同体授权。</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296"/>
            <w:shd w:fill="E8EEF2"/>
            <w:vAlign w:val="center"/>
            <w:tcMar>
              <w:top w:w="100" w:type="dxa"/>
              <w:start w:w="120" w:type="dxa"/>
              <w:bottom w:w="100" w:type="dxa"/>
              <w:end w:w="120" w:type="dxa"/>
            </w:tcMar>
          </w:tcPr>
          <w:p>
            <w:r>
              <w:rPr>
                <w:rFonts w:ascii="Noto Sans CJK SC" w:hAnsi="Noto Sans CJK SC" w:eastAsia="Noto Sans CJK SC"/>
                <w:b/>
                <w:sz w:val="18"/>
              </w:rPr>
              <w:t>阶段</w:t>
            </w:r>
          </w:p>
        </w:tc>
        <w:tc>
          <w:tcPr>
            <w:tcW w:type="dxa" w:w="2160"/>
            <w:shd w:fill="E8EEF2"/>
            <w:vAlign w:val="center"/>
            <w:tcMar>
              <w:top w:w="100" w:type="dxa"/>
              <w:start w:w="120" w:type="dxa"/>
              <w:bottom w:w="100" w:type="dxa"/>
              <w:end w:w="120" w:type="dxa"/>
            </w:tcMar>
          </w:tcPr>
          <w:p>
            <w:r>
              <w:rPr>
                <w:rFonts w:ascii="Noto Sans CJK SC" w:hAnsi="Noto Sans CJK SC" w:eastAsia="Noto Sans CJK SC"/>
                <w:b/>
                <w:sz w:val="18"/>
              </w:rPr>
              <w:t>主要工作</w:t>
            </w:r>
          </w:p>
        </w:tc>
        <w:tc>
          <w:tcPr>
            <w:tcW w:type="dxa" w:w="3096"/>
            <w:shd w:fill="E8EEF2"/>
            <w:vAlign w:val="center"/>
            <w:tcMar>
              <w:top w:w="100" w:type="dxa"/>
              <w:start w:w="120" w:type="dxa"/>
              <w:bottom w:w="100" w:type="dxa"/>
              <w:end w:w="120" w:type="dxa"/>
            </w:tcMar>
          </w:tcPr>
          <w:p>
            <w:r>
              <w:rPr>
                <w:rFonts w:ascii="Noto Sans CJK SC" w:hAnsi="Noto Sans CJK SC" w:eastAsia="Noto Sans CJK SC"/>
                <w:b/>
                <w:sz w:val="18"/>
              </w:rPr>
              <w:t>最低证据</w:t>
            </w:r>
          </w:p>
        </w:tc>
        <w:tc>
          <w:tcPr>
            <w:tcW w:type="dxa" w:w="2808"/>
            <w:shd w:fill="E8EEF2"/>
            <w:vAlign w:val="center"/>
            <w:tcMar>
              <w:top w:w="100" w:type="dxa"/>
              <w:start w:w="120" w:type="dxa"/>
              <w:bottom w:w="100" w:type="dxa"/>
              <w:end w:w="120" w:type="dxa"/>
            </w:tcMar>
          </w:tcPr>
          <w:p>
            <w:r>
              <w:rPr>
                <w:rFonts w:ascii="Noto Sans CJK SC" w:hAnsi="Noto Sans CJK SC" w:eastAsia="Noto Sans CJK SC"/>
                <w:b/>
                <w:sz w:val="18"/>
              </w:rPr>
              <w:t>主要风险</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 对象识别</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界定实践、范围和承载者</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跨州访谈、实践清单、历史连续证据</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定义过宽或把制度当遗产</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 社区协商</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学校、教师、家长、学生、校友共同讨论</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会议记录、异议记录、知情同意</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精英代表替代真实参与</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3 国家清单</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向马来西亚国家遗产主管机关申请</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符合国内法律的调查与档案</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政治与分类可行性不足</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4 保护计划</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师资、档案、治理知识、青年参与、数字保存</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经费、责任人、时间表和评估指标</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把保护变成宣传或冻结传统</w:t>
            </w:r>
          </w:p>
        </w:tc>
      </w:tr>
      <w:tr>
        <w:tc>
          <w:tcPr>
            <w:tcW w:type="dxa" w:w="12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5 国际提名</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按当期表格和评审标准提交</w:t>
            </w:r>
          </w:p>
        </w:tc>
        <w:tc>
          <w:tcPr>
            <w:tcW w:type="dxa" w:w="309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国家清单证明、社区同意、影像与保护方案</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材料与实际实践不一致</w:t>
            </w:r>
          </w:p>
        </w:tc>
      </w:tr>
    </w:tbl>
    <w:p>
      <w:pPr>
        <w:spacing w:after="20"/>
      </w:pPr>
    </w:p>
    <w:p>
      <w:r>
        <w:t>保护计划不应以增加学校数量作为唯一指标。更适合的指标包括：董事治理知识是否完成代际传递；历史档案是否得到编目和开放；教师能否持续进行高质量多语教学；青年是否真实参与而非只在仪式中出现；非华裔参与者是否感到被欢迎；筹款是否透明；学校之间是否能共享濒危档案和教学资源。</w:t>
      </w:r>
    </w:p>
    <w:p>
      <w:pPr>
        <w:pStyle w:val="Heading1"/>
      </w:pPr>
      <w:r>
        <w:t>第十三章　比较研究：为什么是马来西亚</w:t>
      </w:r>
    </w:p>
    <w:p>
      <w:r>
        <w:t>世界各地华人社区都创办过中文学校，但多数位于主流学校之外，以周末或课后语言教育为主。马来西亚的特殊性，在于华文教育形成从小学、中学到高等教育的多层结构，其中一部分进入国家教育体系，一部分保持民办自治，并发展全国性董事与教师组织、统一考试和长期公共筹资。</w:t>
      </w:r>
    </w:p>
    <w:p>
      <w:r>
        <w:t>比较不能为了宣布“世界唯一”。本书将设置新加坡、印度尼西亚、泰国、菲律宾、英国、美国与澳大利亚等对照案例，考察教学时间、学历功能、国家承认、社区治理、财政来源和代际传递。只有当马来西亚案例在这些维度呈现不可由一般移民语言学校解释的组合，它的国际代表性才真正成立。</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584"/>
            <w:shd w:fill="E8EEF2"/>
            <w:vAlign w:val="center"/>
            <w:tcMar>
              <w:top w:w="100" w:type="dxa"/>
              <w:start w:w="120" w:type="dxa"/>
              <w:bottom w:w="100" w:type="dxa"/>
              <w:end w:w="120" w:type="dxa"/>
            </w:tcMar>
          </w:tcPr>
          <w:p>
            <w:r>
              <w:rPr>
                <w:rFonts w:ascii="Noto Sans CJK SC" w:hAnsi="Noto Sans CJK SC" w:eastAsia="Noto Sans CJK SC"/>
                <w:b/>
                <w:sz w:val="18"/>
              </w:rPr>
              <w:t>比较维度</w:t>
            </w:r>
          </w:p>
        </w:tc>
        <w:tc>
          <w:tcPr>
            <w:tcW w:type="dxa" w:w="3528"/>
            <w:shd w:fill="E8EEF2"/>
            <w:vAlign w:val="center"/>
            <w:tcMar>
              <w:top w:w="100" w:type="dxa"/>
              <w:start w:w="120" w:type="dxa"/>
              <w:bottom w:w="100" w:type="dxa"/>
              <w:end w:w="120" w:type="dxa"/>
            </w:tcMar>
          </w:tcPr>
          <w:p>
            <w:r>
              <w:rPr>
                <w:rFonts w:ascii="Noto Sans CJK SC" w:hAnsi="Noto Sans CJK SC" w:eastAsia="Noto Sans CJK SC"/>
                <w:b/>
                <w:sz w:val="18"/>
              </w:rPr>
              <w:t>马来西亚待证命题</w:t>
            </w:r>
          </w:p>
        </w:tc>
        <w:tc>
          <w:tcPr>
            <w:tcW w:type="dxa" w:w="4248"/>
            <w:shd w:fill="E8EEF2"/>
            <w:vAlign w:val="center"/>
            <w:tcMar>
              <w:top w:w="100" w:type="dxa"/>
              <w:start w:w="120" w:type="dxa"/>
              <w:bottom w:w="100" w:type="dxa"/>
              <w:end w:w="120" w:type="dxa"/>
            </w:tcMar>
          </w:tcPr>
          <w:p>
            <w:r>
              <w:rPr>
                <w:rFonts w:ascii="Noto Sans CJK SC" w:hAnsi="Noto Sans CJK SC" w:eastAsia="Noto Sans CJK SC"/>
                <w:b/>
                <w:sz w:val="18"/>
              </w:rPr>
              <w:t>需要的对照材料</w:t>
            </w:r>
          </w:p>
        </w:tc>
      </w:tr>
      <w:tr>
        <w:tc>
          <w:tcPr>
            <w:tcW w:type="dxa" w:w="15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制度连续性</w:t>
            </w:r>
          </w:p>
        </w:tc>
        <w:tc>
          <w:tcPr>
            <w:tcW w:type="dxa" w:w="35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多层级华文教育延续超过一个世纪</w:t>
            </w:r>
          </w:p>
        </w:tc>
        <w:tc>
          <w:tcPr>
            <w:tcW w:type="dxa" w:w="42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各国中文学校法定地位与中断史</w:t>
            </w:r>
          </w:p>
        </w:tc>
      </w:tr>
      <w:tr>
        <w:tc>
          <w:tcPr>
            <w:tcW w:type="dxa" w:w="15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公共功能</w:t>
            </w:r>
          </w:p>
        </w:tc>
        <w:tc>
          <w:tcPr>
            <w:tcW w:type="dxa" w:w="35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不仅补习语言，而且提供完整学历教育</w:t>
            </w:r>
          </w:p>
        </w:tc>
        <w:tc>
          <w:tcPr>
            <w:tcW w:type="dxa" w:w="42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教学时数、课程与升学路径</w:t>
            </w:r>
          </w:p>
        </w:tc>
      </w:tr>
      <w:tr>
        <w:tc>
          <w:tcPr>
            <w:tcW w:type="dxa" w:w="15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社区治理</w:t>
            </w:r>
          </w:p>
        </w:tc>
        <w:tc>
          <w:tcPr>
            <w:tcW w:type="dxa" w:w="35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董事会与全国组织构成稳定网络</w:t>
            </w:r>
          </w:p>
        </w:tc>
        <w:tc>
          <w:tcPr>
            <w:tcW w:type="dxa" w:w="42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治理章程、代表结构与财务来源</w:t>
            </w:r>
          </w:p>
        </w:tc>
      </w:tr>
      <w:tr>
        <w:tc>
          <w:tcPr>
            <w:tcW w:type="dxa" w:w="15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国家嵌入</w:t>
            </w:r>
          </w:p>
        </w:tc>
        <w:tc>
          <w:tcPr>
            <w:tcW w:type="dxa" w:w="35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国家体系内外两种形态长期并存</w:t>
            </w:r>
          </w:p>
        </w:tc>
        <w:tc>
          <w:tcPr>
            <w:tcW w:type="dxa" w:w="42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法律、财政与认证比较</w:t>
            </w:r>
          </w:p>
        </w:tc>
      </w:tr>
      <w:tr>
        <w:tc>
          <w:tcPr>
            <w:tcW w:type="dxa" w:w="15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多语能力</w:t>
            </w:r>
          </w:p>
        </w:tc>
        <w:tc>
          <w:tcPr>
            <w:tcW w:type="dxa" w:w="35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华文教育与国家语言、英语共同存在</w:t>
            </w:r>
          </w:p>
        </w:tc>
        <w:tc>
          <w:tcPr>
            <w:tcW w:type="dxa" w:w="42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学生语言实践与成果研究</w:t>
            </w:r>
          </w:p>
        </w:tc>
      </w:tr>
    </w:tbl>
    <w:p>
      <w:pPr>
        <w:spacing w:after="20"/>
      </w:pPr>
    </w:p>
    <w:p>
      <w:pPr>
        <w:pStyle w:val="Heading1"/>
      </w:pPr>
      <w:r>
        <w:t>第十四章　两个海洋世界：亚洲网络与殖民全球化</w:t>
      </w:r>
    </w:p>
    <w:p>
      <w:pPr>
        <w:pStyle w:val="Heading2"/>
      </w:pPr>
      <w:r>
        <w:t>一、欧洲没有创造马六甲的世界性</w:t>
      </w:r>
    </w:p>
    <w:p>
      <w:r>
        <w:t>本书拒绝把十五世纪末写成亚洲进入世界史的起点。葡萄牙抵达以前，马六甲海峡已经把南中国海、爪哇海、孟加拉湾、印度洋和更远的阿拉伯—波斯网络连接起来。马来港口政权的力量，不只来自领土占有，更来自航道安全、商人接纳、司法调停、语言转译和对差异社群的组织能力。欧洲扩张改变的不是一个无联系的世界，而是既有亚洲海洋网络中的武力、主权与利润分配。</w:t>
      </w:r>
    </w:p>
    <w:p>
      <w:r>
        <w:t>因此，必须同时重建两个并存而不对称的体系。其一是以港口、季风、商人、宗教与亲缘网络为节点的亚洲海洋体系；其二是以武装船队、特许公司、殖民国家、种植园与世界市场为节点的欧洲殖民体系。两者既非先后替代，也非彼此隔绝：地方商人进入殖民市场，殖民政府依赖亚洲中介，跨海宗乡网络借轮船、印刷和电报扩大，旧有流动性被新的种族分类和劳动制度重新编码。</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512"/>
            <w:shd w:fill="E8EEF2"/>
            <w:vAlign w:val="center"/>
            <w:tcMar>
              <w:top w:w="100" w:type="dxa"/>
              <w:start w:w="120" w:type="dxa"/>
              <w:bottom w:w="100" w:type="dxa"/>
              <w:end w:w="120" w:type="dxa"/>
            </w:tcMar>
          </w:tcPr>
          <w:p>
            <w:r>
              <w:rPr>
                <w:rFonts w:ascii="Noto Sans CJK SC" w:hAnsi="Noto Sans CJK SC" w:eastAsia="Noto Sans CJK SC"/>
                <w:b/>
                <w:sz w:val="18"/>
              </w:rPr>
              <w:t>结构维度</w:t>
            </w:r>
          </w:p>
        </w:tc>
        <w:tc>
          <w:tcPr>
            <w:tcW w:type="dxa" w:w="2520"/>
            <w:shd w:fill="E8EEF2"/>
            <w:vAlign w:val="center"/>
            <w:tcMar>
              <w:top w:w="100" w:type="dxa"/>
              <w:start w:w="120" w:type="dxa"/>
              <w:bottom w:w="100" w:type="dxa"/>
              <w:end w:w="120" w:type="dxa"/>
            </w:tcMar>
          </w:tcPr>
          <w:p>
            <w:r>
              <w:rPr>
                <w:rFonts w:ascii="Noto Sans CJK SC" w:hAnsi="Noto Sans CJK SC" w:eastAsia="Noto Sans CJK SC"/>
                <w:b/>
                <w:sz w:val="18"/>
              </w:rPr>
              <w:t>亚洲海洋网络</w:t>
            </w:r>
          </w:p>
        </w:tc>
        <w:tc>
          <w:tcPr>
            <w:tcW w:type="dxa" w:w="2520"/>
            <w:shd w:fill="E8EEF2"/>
            <w:vAlign w:val="center"/>
            <w:tcMar>
              <w:top w:w="100" w:type="dxa"/>
              <w:start w:w="120" w:type="dxa"/>
              <w:bottom w:w="100" w:type="dxa"/>
              <w:end w:w="120" w:type="dxa"/>
            </w:tcMar>
          </w:tcPr>
          <w:p>
            <w:r>
              <w:rPr>
                <w:rFonts w:ascii="Noto Sans CJK SC" w:hAnsi="Noto Sans CJK SC" w:eastAsia="Noto Sans CJK SC"/>
                <w:b/>
                <w:sz w:val="18"/>
              </w:rPr>
              <w:t>欧洲殖民全球化</w:t>
            </w:r>
          </w:p>
        </w:tc>
        <w:tc>
          <w:tcPr>
            <w:tcW w:type="dxa" w:w="2880"/>
            <w:shd w:fill="E8EEF2"/>
            <w:vAlign w:val="center"/>
            <w:tcMar>
              <w:top w:w="100" w:type="dxa"/>
              <w:start w:w="120" w:type="dxa"/>
              <w:bottom w:w="100" w:type="dxa"/>
              <w:end w:w="120" w:type="dxa"/>
            </w:tcMar>
          </w:tcPr>
          <w:p>
            <w:r>
              <w:rPr>
                <w:rFonts w:ascii="Noto Sans CJK SC" w:hAnsi="Noto Sans CJK SC" w:eastAsia="Noto Sans CJK SC"/>
                <w:b/>
                <w:sz w:val="18"/>
              </w:rPr>
              <w:t>华教生成效应</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关键节点</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港口、商帮、宗教中心、亲缘网络</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帝国港口、公司、殖民官署、种植园</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会馆与学校成为两个体系的地方接口</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连接机制</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季风航行、信用、通婚、翻译</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军事保护、契约、人口分类、行政语言</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迁徙规模扩大而文化再生产转由社区承担</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权威形式</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多中心、协商性、关系性</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领土化、官僚化、等级化</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学校须在地方信任与国家规制间生存</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知识媒介</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多语交往、宗教文本、行旅经验</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英语、公文、统计、现代学制</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华文被改造为现代课程与组织语言</w:t>
            </w:r>
          </w:p>
        </w:tc>
      </w:tr>
    </w:tbl>
    <w:p>
      <w:pPr>
        <w:spacing w:after="20"/>
      </w:pPr>
    </w:p>
    <w:p>
      <w:pPr>
        <w:pStyle w:val="Heading2"/>
      </w:pPr>
      <w:r>
        <w:t>二、四种同时代视线中的满剌加</w:t>
      </w:r>
    </w:p>
    <w:p>
      <w:r>
        <w:t>重建十五至十六世纪满剌加，不能把某一种帝国档案当作无色透明的事实。马欢《瀛涯胜览》、托梅·皮雷斯《东方志》、马来文《苏丹谱系》（通称《马来纪年》）以及《马六甲海法》分别站在使团通事、葡萄牙王权知识搜集者、马来宫廷历史记忆和海上实践规则的位置。四类文本看见的对象不同：前两者重视航路、货物、货币、风俗与政权，宫廷叙事重视王统、忠诚与秩序，海法则把船舶上的权位、职责、货运和冲突处理写成规范。它们不是彼此替代的证词，而是同一海洋结构的不同切面。</w:t>
      </w:r>
    </w:p>
    <w:p>
      <w:r>
        <w:t>马欢所记录的满剌加已经具有明确的航海、交易、货币和生活秩序。其价值不仅在于证明中国船队曾经到达，更在于展示一个亚洲观察者如何理解港口社会。皮雷斯在1512至1515年间于马六甲和印度写作《东方志》，试图从红海一直描述到日本；这种知识搜集已经带有葡萄牙王权控制航线、识别商品和判断盟敌的需要。把两部文献对读，可以看见地理大发现前后知识目的的变化：前者服务于使节往来和区域秩序，后者更直接地进入帝国占领后的贸易治理。</w:t>
      </w:r>
    </w:p>
    <w:p>
      <w:r>
        <w:t>《马来纪年》不能被当作逐日编年史，却保存了马六甲作为马来海洋政权的政治自我理解。它把王权、臣属、外交、战争和港口繁荣组织进一套合法性叙事。UNESCO“世界记忆”项目对该文本的说明也强调，它叙述了十五至十六世纪初马来海洋帝国的起源、发展与覆亡。与之相比，《马六甲海法》更接近航海共同体的操作知识：船长、舵手、商人和船员如何分工，责任与收益如何安排，海上争议如何处理。法律的存在说明海洋贸易不是自然发生的流动，而是由可传承的规则维持。</w:t>
      </w:r>
    </w:p>
    <w:p>
      <w:r>
        <w:t>这组史料共同支持一个有限但重要的判断：葡萄牙征服以前的马六甲已经是制度化的跨区域贸易枢纽。它们尚不能直接证明近代华校由十五世纪港口制度延续而来；能够建立的因果桥梁，是马来世界长期依赖跨文化接纳、商业中介和多语转译形成的结构性能力。华教后来得以落地，处在这一历史形成的社会空间之中，但其具体制度仍必须从十九世纪移民家庭化、社团组织和殖民教育政策重新解释。</w:t>
      </w:r>
    </w:p>
    <w:p>
      <w:pPr>
        <w:pStyle w:val="Heading2"/>
      </w:pPr>
      <w:r>
        <w:t>三、1511年不是连接的开始，而是权力函数的改变</w:t>
      </w:r>
    </w:p>
    <w:p>
      <w:r>
        <w:t>葡萄牙攻占马六甲的世界史意义，不应简化为“西方先进航海战胜东方落后港口”。变化的核心是海上连接的权力函数：既有贸易网络越来越受到炮舰、要塞、航海凭证、王室垄断和跨洋帝国竞争的塑造。港口仍需依赖亚洲商人、航海者和地方知识，但利润分配、合法航行与政治安全的决定权发生偏移。</w:t>
      </w:r>
    </w:p>
    <w:p>
      <w:r>
        <w:t>此后荷兰与英国的进入并未消除亚洲商业网络。相反，殖民政权经常借助华人、印度人、阿拉伯人和本地商人完成税收、采购、劳动力组织与区域分销。近代马来亚华人社会因此同时具有主动与被动两面：他们借既有亲缘和商业网络寻找机会，也被殖民矿业、种植园和港口经济大规模吸纳。任何只写“被贩运的劳工”或只写“自由的商业移民”的单一模型，都不足以解释人口构成、阶层差异和学校能力。</w:t>
      </w:r>
    </w:p>
    <w:p>
      <w:pPr>
        <w:pStyle w:val="Heading2"/>
      </w:pPr>
      <w:r>
        <w:t>四、从海上流动到教育定居</w:t>
      </w:r>
    </w:p>
    <w:p>
      <w:r>
        <w:t>教育的出现标志着海洋流动发生时间结构的改变。商人可以在季风间往返，劳工也可能把迁移理解为暂居；学校却以儿童成长、教师连续、校舍投入和代际回报为前提。一个社群决定建校，意味着它开始把此地视为可以安置未来的地方。学校把原本依靠船期和书信维持的跨海联系，转换为按学年、年级、考试和毕业组织的本地时间。</w:t>
      </w:r>
    </w:p>
    <w:p>
      <w:r>
        <w:t>这一转换不是瞬间完成的。十九世纪早期书塾和会馆教育可能仍以籍贯、方言和经典识字为中心；现代华校则逐渐采用班级、课程、校长、教师资格和公共筹资。中国改革与革命提供新教育观念，殖民规制迫使学校形成可登记的组织格式，地方家庭的持续入学又使学校摆脱单纯侨务功能。华教由此成为文明再植的关键装置：它保存跨海记忆，却把主要责任固定在马来亚地方社会。</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152"/>
            <w:shd w:fill="E8EEF2"/>
            <w:vAlign w:val="center"/>
            <w:tcMar>
              <w:top w:w="100" w:type="dxa"/>
              <w:start w:w="120" w:type="dxa"/>
              <w:bottom w:w="100" w:type="dxa"/>
              <w:end w:w="120" w:type="dxa"/>
            </w:tcMar>
          </w:tcPr>
          <w:p>
            <w:r>
              <w:rPr>
                <w:rFonts w:ascii="Noto Sans CJK SC" w:hAnsi="Noto Sans CJK SC" w:eastAsia="Noto Sans CJK SC"/>
                <w:b/>
                <w:sz w:val="18"/>
              </w:rPr>
              <w:t>证据编号</w:t>
            </w:r>
          </w:p>
        </w:tc>
        <w:tc>
          <w:tcPr>
            <w:tcW w:type="dxa" w:w="2736"/>
            <w:shd w:fill="E8EEF2"/>
            <w:vAlign w:val="center"/>
            <w:tcMar>
              <w:top w:w="100" w:type="dxa"/>
              <w:start w:w="120" w:type="dxa"/>
              <w:bottom w:w="100" w:type="dxa"/>
              <w:end w:w="120" w:type="dxa"/>
            </w:tcMar>
          </w:tcPr>
          <w:p>
            <w:r>
              <w:rPr>
                <w:rFonts w:ascii="Noto Sans CJK SC" w:hAnsi="Noto Sans CJK SC" w:eastAsia="Noto Sans CJK SC"/>
                <w:b/>
                <w:sz w:val="18"/>
              </w:rPr>
              <w:t>文本/档案</w:t>
            </w:r>
          </w:p>
        </w:tc>
        <w:tc>
          <w:tcPr>
            <w:tcW w:type="dxa" w:w="2160"/>
            <w:shd w:fill="E8EEF2"/>
            <w:vAlign w:val="center"/>
            <w:tcMar>
              <w:top w:w="100" w:type="dxa"/>
              <w:start w:w="120" w:type="dxa"/>
              <w:bottom w:w="100" w:type="dxa"/>
              <w:end w:w="120" w:type="dxa"/>
            </w:tcMar>
          </w:tcPr>
          <w:p>
            <w:r>
              <w:rPr>
                <w:rFonts w:ascii="Noto Sans CJK SC" w:hAnsi="Noto Sans CJK SC" w:eastAsia="Noto Sans CJK SC"/>
                <w:b/>
                <w:sz w:val="18"/>
              </w:rPr>
              <w:t>观察位置</w:t>
            </w:r>
          </w:p>
        </w:tc>
        <w:tc>
          <w:tcPr>
            <w:tcW w:type="dxa" w:w="2880"/>
            <w:shd w:fill="E8EEF2"/>
            <w:vAlign w:val="center"/>
            <w:tcMar>
              <w:top w:w="100" w:type="dxa"/>
              <w:start w:w="120" w:type="dxa"/>
              <w:bottom w:w="100" w:type="dxa"/>
              <w:end w:w="120" w:type="dxa"/>
            </w:tcMar>
          </w:tcPr>
          <w:p>
            <w:r>
              <w:rPr>
                <w:rFonts w:ascii="Noto Sans CJK SC" w:hAnsi="Noto Sans CJK SC" w:eastAsia="Noto Sans CJK SC"/>
                <w:b/>
                <w:sz w:val="18"/>
              </w:rPr>
              <w:t>可支持命题</w:t>
            </w:r>
          </w:p>
        </w:tc>
        <w:tc>
          <w:tcPr>
            <w:tcW w:type="dxa" w:w="1944"/>
            <w:shd w:fill="E8EEF2"/>
            <w:vAlign w:val="center"/>
            <w:tcMar>
              <w:top w:w="100" w:type="dxa"/>
              <w:start w:w="120" w:type="dxa"/>
              <w:bottom w:w="100" w:type="dxa"/>
              <w:end w:w="120" w:type="dxa"/>
            </w:tcMar>
          </w:tcPr>
          <w:p>
            <w:r>
              <w:rPr>
                <w:rFonts w:ascii="Noto Sans CJK SC" w:hAnsi="Noto Sans CJK SC" w:eastAsia="Noto Sans CJK SC"/>
                <w:b/>
                <w:sz w:val="18"/>
              </w:rPr>
              <w:t>不能推出</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M-01</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马欢《瀛涯胜览·满剌加国》</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明代随航通事与亚洲使团</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十五世纪满剌加已有航路、交易与社会秩序</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近代华校与郑和航行存在直接制度连续</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M-02</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Tomé Pires, Suma Oriental</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葡萄牙占领初期的帝国知识搜集</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马六甲连接从红海至东亚的多重商路</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葡萄牙创造了亚洲海洋贸易</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M-03</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Sulalatus Salatin / Sejarah Melayu</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马来宫廷历史记忆</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马六甲具有自身王权、外交与海洋政治叙事</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其中所有事件均可作精确编年事实</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M-04</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Undang-Undang Laut Melaka</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海上规范与后世抄本传统</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航海贸易依赖角色、责任和争端规则</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现存抄本等同十五世纪原始文本</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M-05</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Straits Settlements Annual Reports</w:t>
            </w:r>
          </w:p>
        </w:tc>
        <w:tc>
          <w:tcPr>
            <w:tcW w:type="dxa" w:w="21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殖民官署年度统计与分类</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十九、二十世纪人口、贸易和教育进入官僚可视化</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殖民统计类别等同社会真实身份</w:t>
            </w:r>
          </w:p>
        </w:tc>
      </w:tr>
    </w:tbl>
    <w:p>
      <w:pPr>
        <w:spacing w:after="20"/>
      </w:pPr>
    </w:p>
    <w:p>
      <w:pPr>
        <w:pStyle w:val="Heading2"/>
      </w:pPr>
      <w:r>
        <w:t>五、华人社会是体系交叠的结果</w:t>
      </w:r>
    </w:p>
    <w:p>
      <w:r>
        <w:t>马来西亚华人不能被解释为中国社会的一块海外切片。他们由闽粤琼等地方网络、方言群体、商业组织、殖民劳动力需求、马来港口环境和本地家庭化过程共同生成。只有当流动人口形成家庭、儿童和代际未来，学校才从临时互助转变为持续公共制度。华校因此不是迁徙的附属物，而是迁徙社会决定在此地拥有未来的证据。</w:t>
      </w:r>
    </w:p>
    <w:p>
      <w:r>
        <w:t>这里必须避免一条未经证明的连续性神话：近代华校不能被直接宣布为古代海上贸易网络的原样延续。需要证明的是功能和关系的重组——哪些宗乡信用进入董事会，哪些商业航线支持教材与教师流动，哪些殖民交通技术扩大跨海联系，哪些地方制度使学校落地。连续的是可重组的网络能力，而不是从古至今不变的组织实体。</w:t>
      </w:r>
    </w:p>
    <w:p>
      <w:pPr>
        <w:pStyle w:val="Heading1"/>
      </w:pPr>
      <w:r>
        <w:t>第十五章　马来世界的结构性开放与共同保存</w:t>
      </w:r>
    </w:p>
    <w:p>
      <w:pPr>
        <w:pStyle w:val="Heading2"/>
      </w:pPr>
      <w:r>
        <w:t>一、从“民族宽容”转向可检验的历史机制</w:t>
      </w:r>
    </w:p>
    <w:p>
      <w:r>
        <w:t>华教能够存在，不能只归因于华人重教，也不宜诉诸“马来民族天生宽容”的性格解释。更可检验的命题是：马来世界长期处于海路交汇地带，港口繁荣依赖对不同商人、语言、宗教和法律习惯的协调；这种历史经验形成了允许差异进入、停留并被地方化的结构性开放。开放并不等于没有冲突，而是冲突之后仍保留协商、共处和制度再安排的可能。</w:t>
      </w:r>
    </w:p>
    <w:p>
      <w:r>
        <w:t>殖民统治又赋予这种开放以矛盾形态。英国治理通过族群分类和分置教育加深边界，却没有建立彻底同质化的单语教育。独立建国则在马来语的国家地位、其他社群语言的使用学习、国家课程和不同学校形态之间形成持续协商。华教的保存由此既包含华人社区的行动，也包含马来社会内部支持多元者的选择、宪法安排留下的空间以及其他族群的实际参与。</w:t>
      </w:r>
    </w:p>
    <w:p>
      <w:pPr>
        <w:pStyle w:val="Heading2"/>
      </w:pPr>
      <w:r>
        <w:t>二、共生性文明保存</w:t>
      </w:r>
    </w:p>
    <w:p>
      <w:r>
        <w:t>本书将这一机制称为“共生性文明保存”：一种文化的跨代存续，既依靠本群体的实践，也依靠共同国家及其他社群为差异保留合法空间。它不是主体文化对少数文化的单向恩赐，也不是少数群体从国家手中夺取的孤立胜利，而是长期交往、冲突、妥协与共同生活所形成的关系成果。</w:t>
      </w:r>
    </w:p>
    <w:p>
      <w:r>
        <w:t>马来文化与华人文化可以被比喻为共同经历殖民风暴后仍然开放的两朵文明之花，但国家叙事不能停在二元结构。印度与泰米尔传统、沙巴和砂拉越原住民族群、半岛原住民及其他社群同样构成马来西亚。华教申遗若要成为国家资产，就必须把自己的存续放回这一多元生态，而不是以一个族群的胜利覆盖其他共同体。</w:t>
      </w:r>
    </w:p>
    <w:p>
      <w:pPr>
        <w:pStyle w:val="Heading1"/>
      </w:pPr>
      <w:r>
        <w:t>第十六章　语言合法性的不对称：英语为何隐身</w:t>
      </w:r>
    </w:p>
    <w:p>
      <w:r>
        <w:t>当代争论中，英语通常被解释为就业、科学和国际化能力，华文却经常被解释为族群边界、外部忠诚或国家整合问题。这一差别并非语言自身性质造成，而是两种历史路径的结果。英语从殖民权力语言转化为全球知识资本，其暴力来源逐渐被实用价值遮蔽；华文虽然经过百余年本土化，却因与中国及华人身份的可见联系而持续被政治化。</w:t>
      </w:r>
    </w:p>
    <w:p>
      <w:r>
        <w:t>本书把它称为“殖民语言的普遍化与本土传承语的他者化悖论”：外来的殖民语言最终显得没有国籍，已经深度本土化的华文教育却不断被追问来自哪里。这一命题不意味着马来西亚从未抵制英语。独立后的国语化本身就是去殖民行动；问题在于，英语后来较容易被重新编码为中性的全球能力，而华文的公共价值仍常被限制在族群文化范围。</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440"/>
            <w:shd w:fill="E8EEF2"/>
            <w:vAlign w:val="center"/>
            <w:tcMar>
              <w:top w:w="100" w:type="dxa"/>
              <w:start w:w="120" w:type="dxa"/>
              <w:bottom w:w="100" w:type="dxa"/>
              <w:end w:w="120" w:type="dxa"/>
            </w:tcMar>
          </w:tcPr>
          <w:p>
            <w:r>
              <w:rPr>
                <w:rFonts w:ascii="Noto Sans CJK SC" w:hAnsi="Noto Sans CJK SC" w:eastAsia="Noto Sans CJK SC"/>
                <w:b/>
                <w:sz w:val="18"/>
              </w:rPr>
              <w:t>语言</w:t>
            </w:r>
          </w:p>
        </w:tc>
        <w:tc>
          <w:tcPr>
            <w:tcW w:type="dxa" w:w="2736"/>
            <w:shd w:fill="E8EEF2"/>
            <w:vAlign w:val="center"/>
            <w:tcMar>
              <w:top w:w="100" w:type="dxa"/>
              <w:start w:w="120" w:type="dxa"/>
              <w:bottom w:w="100" w:type="dxa"/>
              <w:end w:w="120" w:type="dxa"/>
            </w:tcMar>
          </w:tcPr>
          <w:p>
            <w:r>
              <w:rPr>
                <w:rFonts w:ascii="Noto Sans CJK SC" w:hAnsi="Noto Sans CJK SC" w:eastAsia="Noto Sans CJK SC"/>
                <w:b/>
                <w:sz w:val="18"/>
              </w:rPr>
              <w:t>历史来源</w:t>
            </w:r>
          </w:p>
        </w:tc>
        <w:tc>
          <w:tcPr>
            <w:tcW w:type="dxa" w:w="2880"/>
            <w:shd w:fill="E8EEF2"/>
            <w:vAlign w:val="center"/>
            <w:tcMar>
              <w:top w:w="100" w:type="dxa"/>
              <w:start w:w="120" w:type="dxa"/>
              <w:bottom w:w="100" w:type="dxa"/>
              <w:end w:w="120" w:type="dxa"/>
            </w:tcMar>
          </w:tcPr>
          <w:p>
            <w:r>
              <w:rPr>
                <w:rFonts w:ascii="Noto Sans CJK SC" w:hAnsi="Noto Sans CJK SC" w:eastAsia="Noto Sans CJK SC"/>
                <w:b/>
                <w:sz w:val="18"/>
              </w:rPr>
              <w:t>当代合法性编码</w:t>
            </w:r>
          </w:p>
        </w:tc>
        <w:tc>
          <w:tcPr>
            <w:tcW w:type="dxa" w:w="2664"/>
            <w:shd w:fill="E8EEF2"/>
            <w:vAlign w:val="center"/>
            <w:tcMar>
              <w:top w:w="100" w:type="dxa"/>
              <w:start w:w="120" w:type="dxa"/>
              <w:bottom w:w="100" w:type="dxa"/>
              <w:end w:w="120" w:type="dxa"/>
            </w:tcMar>
          </w:tcPr>
          <w:p>
            <w:r>
              <w:rPr>
                <w:rFonts w:ascii="Noto Sans CJK SC" w:hAnsi="Noto Sans CJK SC" w:eastAsia="Noto Sans CJK SC"/>
                <w:b/>
                <w:sz w:val="18"/>
              </w:rPr>
              <w:t>被遮蔽的问题</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马来语</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马来世界的区域通语与国家主体语言</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国语、公民共同体、去殖民象征</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内部多样性及与海洋世界的跨境历史</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英语</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英国殖民行政、商业与精英教育</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国际化、科学、就业与全球流动</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殖民权力及知识等级的制度遗存</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华语</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移民网络、现代中国及本地华校</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传承语、社区教育，也常被族群化</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在地化、公民化及其国家公共贡献</w:t>
            </w:r>
          </w:p>
        </w:tc>
      </w:tr>
    </w:tbl>
    <w:p>
      <w:pPr>
        <w:spacing w:after="20"/>
      </w:pPr>
    </w:p>
    <w:p>
      <w:r>
        <w:t>华教的历史价值因而不是与英语对抗，而是证明现代化不必等同于英语化；它也不是挑战马来语的国语地位，而是证明共同国语与多种知识语言可以承担不同功能。只有从对立竞争转向功能互补，三语结构才具有面向全体马来西亚人的公共意义。</w:t>
      </w:r>
    </w:p>
    <w:p>
      <w:pPr>
        <w:pStyle w:val="Heading1"/>
      </w:pPr>
      <w:r>
        <w:t>第十七章　三种语言、三个尺度：世界罕见的教育生态</w:t>
      </w:r>
    </w:p>
    <w:p>
      <w:pPr>
        <w:pStyle w:val="Heading2"/>
      </w:pPr>
      <w:r>
        <w:t>一、不是“有没有三语学校”</w:t>
      </w:r>
    </w:p>
    <w:p>
      <w:r>
        <w:t>全球比较已经排除“马来西亚拥有世界唯一三语教育”的过强主张。文莱华校教授马来语、英语与华语；菲律宾华校并置菲律宾语、英语和华语；泰国与印度尼西亚也存在三语学校；毛里求斯、新加坡和香港则形成其他多语制度。真正的问题不是三种语言是否同时出现在课程表，而是它们是否形成大规模、跨世代、社区参与、国家制度嵌入并由传承语承担知识教学的完整组合。</w:t>
      </w:r>
    </w:p>
    <w:p>
      <w:r>
        <w:t>马来西亚国民型华文小学以华语为主要教学媒介，同时将马来语和英语列为核心课程；独中以华文延续完整中等教育，并教授国家语言和英语。三种语言由此分别连接文化记忆、国家公民身份和全球知识体系。这不是三项语言技能的相加，而是一套在三个文明尺度间配置归属与能力的教育结构。</w:t>
      </w:r>
    </w:p>
    <w:tbl>
      <w:tblPr>
        <w:tblW w:type="auto" w:w="0"/>
        <w:jc w:val="center"/>
        <w:tblLayout w:type="fixed"/>
        <w:tblLook w:firstColumn="1" w:firstRow="1" w:lastColumn="0" w:lastRow="0" w:noHBand="0" w:noVBand="1" w:val="04A0"/>
      </w:tblPr>
      <w:tblGrid>
        <w:gridCol w:w="1560"/>
        <w:gridCol w:w="1560"/>
        <w:gridCol w:w="1560"/>
        <w:gridCol w:w="1560"/>
        <w:gridCol w:w="1560"/>
        <w:gridCol w:w="1560"/>
      </w:tblGrid>
      <w:tr>
        <w:trPr>
          <w:tblHeader w:val="true"/>
        </w:trPr>
        <w:tc>
          <w:tcPr>
            <w:tcW w:type="dxa" w:w="1512"/>
            <w:shd w:fill="E8EEF2"/>
            <w:vAlign w:val="center"/>
            <w:tcMar>
              <w:top w:w="100" w:type="dxa"/>
              <w:start w:w="120" w:type="dxa"/>
              <w:bottom w:w="100" w:type="dxa"/>
              <w:end w:w="120" w:type="dxa"/>
            </w:tcMar>
          </w:tcPr>
          <w:p>
            <w:r>
              <w:rPr>
                <w:rFonts w:ascii="Noto Sans CJK SC" w:hAnsi="Noto Sans CJK SC" w:eastAsia="Noto Sans CJK SC"/>
                <w:b/>
                <w:sz w:val="18"/>
              </w:rPr>
              <w:t>比较案例</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三语结构</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历史连续性</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社区治理</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传承语教学媒介</w:t>
            </w:r>
          </w:p>
        </w:tc>
        <w:tc>
          <w:tcPr>
            <w:tcW w:type="dxa" w:w="1440"/>
            <w:shd w:fill="E8EEF2"/>
            <w:vAlign w:val="center"/>
            <w:tcMar>
              <w:top w:w="100" w:type="dxa"/>
              <w:start w:w="120" w:type="dxa"/>
              <w:bottom w:w="100" w:type="dxa"/>
              <w:end w:w="120" w:type="dxa"/>
            </w:tcMar>
          </w:tcPr>
          <w:p>
            <w:r>
              <w:rPr>
                <w:rFonts w:ascii="Noto Sans CJK SC" w:hAnsi="Noto Sans CJK SC" w:eastAsia="Noto Sans CJK SC"/>
                <w:b/>
                <w:sz w:val="18"/>
              </w:rPr>
              <w:t>初步判定</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马来西亚华校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马来语—英语—华语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百年以上，虽有制度分流但总体连续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全国性董事与教师网络</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华小与独中具有</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组合结构高度罕见</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文莱华校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马来语—英语—华语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始于20世纪初，规模较小</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私立华校社区</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1970年代后明显减弱</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重要近邻对照</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菲律宾华校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菲律宾语—英语—华语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百年传统但经历菲律宾化</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以私立学校为主</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多为课程而非主要媒介</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功能部分相似</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泰国三语学校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泰语—英语—华语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不少为全球化时代新设</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私立或国际学校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校际差异较大</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市场型对照</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印尼三语学校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印尼语—英语—华语</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华教曾发生制度断裂</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改革后私立网络</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通常以印尼语为主</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断裂—复兴对照</w:t>
            </w:r>
          </w:p>
        </w:tc>
      </w:tr>
      <w:tr>
        <w:tc>
          <w:tcPr>
            <w:tcW w:type="dxa" w:w="15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新加坡</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英语—母语及第三语言</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传统华校经国家整合转型</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国家主导</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英语为主要媒介</w:t>
            </w:r>
          </w:p>
        </w:tc>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国家整合型对照</w:t>
            </w:r>
          </w:p>
        </w:tc>
      </w:tr>
    </w:tbl>
    <w:p>
      <w:pPr>
        <w:spacing w:after="20"/>
      </w:pPr>
    </w:p>
    <w:p>
      <w:pPr>
        <w:pStyle w:val="Heading2"/>
      </w:pPr>
      <w:r>
        <w:t>二、从族群学校到跨族群公共空间</w:t>
      </w:r>
    </w:p>
    <w:p>
      <w:r>
        <w:t>马来西亚华小的非华裔学生比例持续增加，使三语教育出现新的遗产主体。这一变化不能只被用作证明华校受欢迎的宣传数字，而要研究非华裔家庭为何选择华校、他们如何进入校园文化、宗教与饮食安排是否包容、华文学习是否形成新的社会流动机会，以及学校是否因此改变自己的族群叙事。若非华裔只是招生统计而没有解释权，跨族群公共性就尚未完成。</w:t>
      </w:r>
    </w:p>
    <w:p>
      <w:pPr>
        <w:pStyle w:val="Heading1"/>
      </w:pPr>
      <w:r>
        <w:t>第十八章　中国的移动位置：来源、中心与去中心化</w:t>
      </w:r>
    </w:p>
    <w:p>
      <w:r>
        <w:t>“中国”在华教史中不是固定行动者。本书区分文明中国、闽粤琼等区域社会、晚清与中华民国国家、革命中国、中华人民共和国以及当代全球华语网络。早期中国主要提供文字、经典、教材、教师和宗乡联系；民族主义时代它一度成为政治与教育参照中心；马来亚独立前后，华教则必须完成从中国本位向马来亚本位的转化；当代中国又成为大学、市场、技术和文化资源网络中的重要节点。</w:t>
      </w:r>
    </w:p>
    <w:p>
      <w:r>
        <w:t>这一路径的关键不是切断中国，而是改变中国在结构中的位置。马来西亚华教继承中国资源，却由马来西亚社区承担责任、在马来西亚法律中生存、培养马来西亚公民。中国可以是历史资料来源、比较研究伙伴和数字化合作节点，却不是该遗产的所有者或代表主体。遗产的识别、解释与传承权属于马来西亚相关社区。</w:t>
      </w:r>
    </w:p>
    <w:p>
      <w:r>
        <w:t>最能检验本土化的不是联系最密切的时期，而是联系中断的时期：清朝终结、战争与日本占领、1949年后冷战分隔、马来亚独立、公民身份重构以及后来马中关系正常化。若华教在外部中心变化和跨海联系断裂后仍能由本地网络重建，就说明其连续性已经扎根马来西亚。</w:t>
      </w:r>
    </w:p>
    <w:p>
      <w:pPr>
        <w:pStyle w:val="Heading1"/>
      </w:pPr>
      <w:r>
        <w:t>第十九章　遗产价值：人类如何在迁徙中保存文明</w:t>
      </w:r>
    </w:p>
    <w:p>
      <w:r>
        <w:t>这项遗产最重要的世界意义，不是马来西亚替中国保存了中华文化，而是马来西亚为人类保存了一种文明再植能力。它显示文化离开原生疆域后，可以经过地方化、公民化和制度重组，既保持记忆又参与新国家；移民社会可以从临时互助转化为公共教育供给者；国家整合也可以不以彻底消除传承语言为前提。</w:t>
      </w:r>
    </w:p>
    <w:p>
      <w:r>
        <w:t>因此，申报叙事必须从“华教值得被允许存在”转向“华教解释了马来西亚如何形成”。学校是华人直接建设的，却也依赖马来世界的结构性开放、建国时期的政治协商、宪法与教育制度以及不同族群日常共处所留下的空间。保护华教，由此成为保护马来西亚国家形成史中一项仍然活着的社会能力。</w:t>
      </w:r>
    </w:p>
    <w:p>
      <w:r>
        <w:t>这一价值仍须通过社区识别与比较证据成立。宏大的全球史不能替代活态实践，三语特色不能替代传承者同意，历史贡献不能自动证明当前治理公正。只有当共同办学知识仍被实践、下一代愿意继承、不同声音进入保护方案、跨国比较排除夸张唯一性时，世界意义才具有可验证基础。</w:t>
      </w:r>
    </w:p>
    <w:p>
      <w:pPr>
        <w:pStyle w:val="Heading1"/>
      </w:pPr>
      <w:r>
        <w:t>第二十章　经典著作的证据与图像工程</w:t>
      </w:r>
    </w:p>
    <w:p>
      <w:r>
        <w:t>本书的图像不是装饰。每幅地图、档案、照片、统计图和实物图必须承担一项论证功能，并与地点、载体、时间、行动者和机制闭合。全书建立六组视觉证据链：亚洲海洋网络、殖民人口与贸易、华校制度生成、战争与重建、三语课堂与社区治理、全球比较与当代传承。</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440"/>
            <w:shd w:fill="E8EEF2"/>
            <w:vAlign w:val="center"/>
            <w:tcMar>
              <w:top w:w="100" w:type="dxa"/>
              <w:start w:w="120" w:type="dxa"/>
              <w:bottom w:w="100" w:type="dxa"/>
              <w:end w:w="120" w:type="dxa"/>
            </w:tcMar>
          </w:tcPr>
          <w:p>
            <w:r>
              <w:rPr>
                <w:rFonts w:ascii="Noto Sans CJK SC" w:hAnsi="Noto Sans CJK SC" w:eastAsia="Noto Sans CJK SC"/>
                <w:b/>
                <w:sz w:val="18"/>
              </w:rPr>
              <w:t>视觉组</w:t>
            </w:r>
          </w:p>
        </w:tc>
        <w:tc>
          <w:tcPr>
            <w:tcW w:type="dxa" w:w="2736"/>
            <w:shd w:fill="E8EEF2"/>
            <w:vAlign w:val="center"/>
            <w:tcMar>
              <w:top w:w="100" w:type="dxa"/>
              <w:start w:w="120" w:type="dxa"/>
              <w:bottom w:w="100" w:type="dxa"/>
              <w:end w:w="120" w:type="dxa"/>
            </w:tcMar>
          </w:tcPr>
          <w:p>
            <w:r>
              <w:rPr>
                <w:rFonts w:ascii="Noto Sans CJK SC" w:hAnsi="Noto Sans CJK SC" w:eastAsia="Noto Sans CJK SC"/>
                <w:b/>
                <w:sz w:val="18"/>
              </w:rPr>
              <w:t>核心图像</w:t>
            </w:r>
          </w:p>
        </w:tc>
        <w:tc>
          <w:tcPr>
            <w:tcW w:type="dxa" w:w="1656"/>
            <w:shd w:fill="E8EEF2"/>
            <w:vAlign w:val="center"/>
            <w:tcMar>
              <w:top w:w="100" w:type="dxa"/>
              <w:start w:w="120" w:type="dxa"/>
              <w:bottom w:w="100" w:type="dxa"/>
              <w:end w:w="120" w:type="dxa"/>
            </w:tcMar>
          </w:tcPr>
          <w:p>
            <w:r>
              <w:rPr>
                <w:rFonts w:ascii="Noto Sans CJK SC" w:hAnsi="Noto Sans CJK SC" w:eastAsia="Noto Sans CJK SC"/>
                <w:b/>
                <w:sz w:val="18"/>
              </w:rPr>
              <w:t>拟用章节</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论证功能</w:t>
            </w:r>
          </w:p>
        </w:tc>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最低权利状态</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 海洋世界</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季风航线、马六甲港图、古地图、船舶与商贸物</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第1、14章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证明前殖民连通及体系交叠</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公共领域或书面授权</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 殖民重构</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人口统计、港口货流、学校注册档、行政区图</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第2—5章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连接全球资本、人口迁徙与教育治理</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档案引用许可</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C 学校生成</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校舍、董事名录、账簿、教材、教师证件</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第6—10章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呈现资源如何转换为学校</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馆藏及人物授权</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D 共同保存</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跨族群活动、国家文件、地方协商与校庆</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第11、15章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证明存续是关系成果而非单方神话</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参与者知情同意</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E 三语实践</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课程表、课堂、学生作品、语言景观</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第16—17章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证明三语的实际功能与不对称</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学校、家长及作者授权</w:t>
            </w:r>
          </w:p>
        </w:tc>
      </w:tr>
      <w:tr>
        <w:tc>
          <w:tcPr>
            <w:tcW w:type="dxa" w:w="14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F 世界比较</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六国制度图、时间线、规模与功能矩阵</w:t>
            </w:r>
          </w:p>
        </w:tc>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第13、17、19章</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支持“组合罕见”而非“绝对唯一”</w:t>
            </w:r>
          </w:p>
        </w:tc>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数据来源明确</w:t>
            </w:r>
          </w:p>
        </w:tc>
      </w:tr>
    </w:tbl>
    <w:p>
      <w:pPr>
        <w:spacing w:after="20"/>
      </w:pPr>
    </w:p>
    <w:p>
      <w:r>
        <w:t>每章实行“主张—证据—图像—反证”四联单：一项中心命题至少对应一组原始材料、一项可视证据和一个竞争解释；无法取得原件、页码或授权的图片只进入研究目录，不进入出版稿。人工生成的示意图必须明确标识为研究绘图，不能替代历史图像。</w:t>
      </w:r>
    </w:p>
    <w:p>
      <w:pPr>
        <w:pStyle w:val="Heading1"/>
      </w:pPr>
      <w:r>
        <w:t>结语　共同国家中的多元文明</w:t>
      </w:r>
    </w:p>
    <w:p>
      <w:r>
        <w:t>地理大发现以后，文明不再能被理解为固定土地、单一人口与唯一政治权力的重合物。迁徙使文化离开原生地域，殖民主义以不平等方式重组人口，民族国家又试图以共同语言和教育创造国民。马来西亚华教处在这三重历史力量的交点。</w:t>
      </w:r>
    </w:p>
    <w:p>
      <w:r>
        <w:t>它的意义不在于证明某种文明拒绝改变，而在于显示文化连续可以通过改变载体而实现：私塾变成现代学校，方言群体形成共同华文，跨海教材被地方化，地方董事会组成全国网络，捐资从熟人义务转化为公共活动，学校又从华人子弟教育逐渐面对多族群社会。连续性不是静止，而是结构在压力中保存核心功能并改变实现方式。</w:t>
      </w:r>
    </w:p>
    <w:p>
      <w:r>
        <w:t>如果这一传统最终获得遗产身份，它不应成为族群胜利的奖章，而应成为马来西亚向世界提出的一项文明经验：共同国家并不要求所有历史记忆、知识语言和教育传统归于单一形式；多元文明也不是若干文化表演并排出现，而是不同共同体能够在共同法律和公民秩序下，负责任地传承自己的知识，同时向彼此开放。</w:t>
      </w:r>
    </w:p>
    <w:p>
      <w:r>
        <w:br w:type="page"/>
      </w:r>
    </w:p>
    <w:p>
      <w:pPr>
        <w:pStyle w:val="Heading1"/>
      </w:pPr>
      <w:r>
        <w:t>第二十一章　众神、乡缘与学校：宗教多元中的精神共同体</w:t>
      </w:r>
    </w:p>
    <w:p>
      <w:pPr>
        <w:pStyle w:val="Heading2"/>
      </w:pPr>
      <w:r>
        <w:t>一、需要修正的命题：不是“没有宗教”，而是没有单一教会</w:t>
      </w:r>
    </w:p>
    <w:p>
      <w:r>
        <w:t>马来西亚华人并非没有宗教。佛教、道教、儒家礼仪、祖先祭祀、地方神祇、行业神、基督宗教以及各种兼容性的民间实践，长期共同存在。许多信众并不按照现代宗教学的排他分类理解自己的行动：同一家庭可能祭祖、礼佛、敬奉大伯公或妈祖，又在婚丧、岁时和地方庙会中采用不同传统。因此，准确的历史命题不是“华人没有统一宗教”，而是马来西亚华人社会长期缺少一个能够以统一教义、教会组织和成员资格覆盖全部方言群、籍贯群、阶层与地域的单一宗教制度。</w:t>
      </w:r>
    </w:p>
    <w:p>
      <w:r>
        <w:t>这种宗教生态具有强大的地方凝聚力，却不必然产生全体华人的共同组织。庙宇往往与神缘、地缘、业缘和方言网络重叠：鲁班行兼具行业神信仰、师徒制度与广东群体的组织功能；妈祖、水尾圣娘和天后信仰连接航海经验及海南社群；关帝庙可能同时承担祭祀、商业信用和地方调解；青云亭、观音亭等机构又在特定历史时期兼有慈善、司法或华社代表功能。宗教不是学校出现以前的原始阶段，而是与会馆、义山、善堂、报馆和学校并行的公共组织资源。</w:t>
      </w:r>
    </w:p>
    <w:p>
      <w:pPr>
        <w:pStyle w:val="Heading2"/>
      </w:pPr>
      <w:r>
        <w:t>二、从分群神圣空间到跨群世俗制度</w:t>
      </w:r>
    </w:p>
    <w:p>
      <w:r>
        <w:t>十九世纪的庙宇与会馆经常容纳书塾或义学，原因不只是缺少校舍。香火、产业、捐献者名册、值年管理和地方声望，已经构成一套能够募集资源、监督用途并延续责任的组织技术。学校从这些空间中分化出来时，继承的不只是房屋和资金，还包括捐资伦理、公共名誉、理事治理与代际义务。由“庙—馆—塾—校”形成的关系链，必须逐地核验，不能假定所有学校都由寺庙自然演化而来。</w:t>
      </w:r>
    </w:p>
    <w:p>
      <w:r>
        <w:t>现代华校所带来的结构变化，在于它原则上以儿童、课程和共同书面语而非特定神祇或教派作为参与接口。来自不同方言群、宗教传统甚至无宗教家庭的学生，可以在同一校园学习共同华文、历史知识、伦理词汇和地方公民经验。普通话/华语的推广、现代分级课程、教师专业化和跨籍贯董事会，使学校逐步获得超越单一庙宇或会馆的整合尺度。这里的“世俗”不意味着排斥宗教，而是共同体成员无须共享同一种信仰，仍能共同承担教育。</w:t>
      </w:r>
    </w:p>
    <w:p>
      <w:pPr>
        <w:pStyle w:val="Heading2"/>
      </w:pPr>
      <w:r>
        <w:t>三、华教作为精神基础设施</w:t>
      </w:r>
    </w:p>
    <w:p>
      <w:r>
        <w:t>华教的精神作用不能缩减为教授语言。离散群体面对的是一种时间断裂：祖籍地不再是日常生活空间，下一代可能不再理解上一代的方言与仪式，而殖民国家和新民族国家又以新的行政语言、学校制度和公民身份组织生活。华校通过日课、阅读、书写、校歌、节庆、校史、毕业、校友网络和公共筹款，把离散记忆重新编入儿童成长的时间，使“来自何处”“在何地生活”与“共同建设何种未来”能够同时被叙述。</w:t>
      </w:r>
    </w:p>
    <w:p>
      <w:r>
        <w:t>因此，可以提出“精神基础设施”假说：在宗教信仰多元、籍贯组织分立且阶层差异显著的华人社会中，华教成为少数能够跨越这些边界、长期生产共同符号与公共责任的制度。它不要求成员皈依同一信条，却通过共同书写系统、教育伦理、历史记忆与为下一代办学的实践，形成一种最低限度的共同世界。华教不是宗教替代品，更不是华人唯一的精神来源；它提供的是一种可以容纳多种宗教的共同体语法。</w:t>
      </w:r>
    </w:p>
    <w:p>
      <w:r>
        <w:t>这一命题也解释了华教何以比普通语言课程具有更高的遗产价值。若学校只是传授工具性华语，其功能可由商业培训替代；若它持续把不同家庭的资源、记忆和责任组织为公共教育，它保存的便是一套离散社会自我构成的方法。共同体的精神连续性，不是来自教义一致，而是来自共同实践的重复。</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结构载体</w:t>
            </w:r>
          </w:p>
        </w:tc>
        <w:tc>
          <w:tcPr>
            <w:tcW w:type="dxa" w:w="2232"/>
            <w:shd w:fill="E8EEF2"/>
            <w:vAlign w:val="center"/>
            <w:tcMar>
              <w:top w:w="100" w:type="dxa"/>
              <w:start w:w="120" w:type="dxa"/>
              <w:bottom w:w="100" w:type="dxa"/>
              <w:end w:w="120" w:type="dxa"/>
            </w:tcMar>
          </w:tcPr>
          <w:p>
            <w:r>
              <w:rPr>
                <w:rFonts w:ascii="Noto Sans CJK SC" w:hAnsi="Noto Sans CJK SC" w:eastAsia="Noto Sans CJK SC"/>
                <w:b/>
                <w:sz w:val="18"/>
              </w:rPr>
              <w:t>主要整合边界</w:t>
            </w:r>
          </w:p>
        </w:tc>
        <w:tc>
          <w:tcPr>
            <w:tcW w:type="dxa" w:w="3384"/>
            <w:shd w:fill="E8EEF2"/>
            <w:vAlign w:val="center"/>
            <w:tcMar>
              <w:top w:w="100" w:type="dxa"/>
              <w:start w:w="120" w:type="dxa"/>
              <w:bottom w:w="100" w:type="dxa"/>
              <w:end w:w="120" w:type="dxa"/>
            </w:tcMar>
          </w:tcPr>
          <w:p>
            <w:r>
              <w:rPr>
                <w:rFonts w:ascii="Noto Sans CJK SC" w:hAnsi="Noto Sans CJK SC" w:eastAsia="Noto Sans CJK SC"/>
                <w:b/>
                <w:sz w:val="18"/>
              </w:rPr>
              <w:t>共同体功能</w:t>
            </w:r>
          </w:p>
        </w:tc>
        <w:tc>
          <w:tcPr>
            <w:tcW w:type="dxa" w:w="2520"/>
            <w:shd w:fill="E8EEF2"/>
            <w:vAlign w:val="center"/>
            <w:tcMar>
              <w:top w:w="100" w:type="dxa"/>
              <w:start w:w="120" w:type="dxa"/>
              <w:bottom w:w="100" w:type="dxa"/>
              <w:end w:w="120" w:type="dxa"/>
            </w:tcMar>
          </w:tcPr>
          <w:p>
            <w:r>
              <w:rPr>
                <w:rFonts w:ascii="Noto Sans CJK SC" w:hAnsi="Noto Sans CJK SC" w:eastAsia="Noto Sans CJK SC"/>
                <w:b/>
                <w:sz w:val="18"/>
              </w:rPr>
              <w:t>不能预设</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庙宇与神缘组织</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信众、地方或行业群体</w:t>
            </w:r>
          </w:p>
        </w:tc>
        <w:tc>
          <w:tcPr>
            <w:tcW w:type="dxa" w:w="33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祭祀、互助、信用、调解、慈善</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代表全部华人或具有统一教义</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会馆与乡缘组织</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籍贯、方言、宗族或行业</w:t>
            </w:r>
          </w:p>
        </w:tc>
        <w:tc>
          <w:tcPr>
            <w:tcW w:type="dxa" w:w="33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接济、就业、义山、教育与争议处理</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内部没有阶层、性别与籍贯排除</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现代华校</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原则上跨籍贯、跨宗教的儿童与家庭</w:t>
            </w:r>
          </w:p>
        </w:tc>
        <w:tc>
          <w:tcPr>
            <w:tcW w:type="dxa" w:w="33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共同文字、知识、伦理、公共责任与代际未来</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自动产生族群团结或国家认同</w:t>
            </w:r>
          </w:p>
        </w:tc>
      </w:tr>
      <w:tr>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全国华教网络</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跨州学校、董事与教师组织</w:t>
            </w:r>
          </w:p>
        </w:tc>
        <w:tc>
          <w:tcPr>
            <w:tcW w:type="dxa" w:w="338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政策转译、标准、协调与公共论述</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能够替代所有地方共同体发言</w:t>
            </w:r>
          </w:p>
        </w:tc>
      </w:tr>
    </w:tbl>
    <w:p>
      <w:pPr>
        <w:spacing w:after="20"/>
      </w:pPr>
    </w:p>
    <w:p>
      <w:pPr>
        <w:pStyle w:val="Heading2"/>
      </w:pPr>
      <w:r>
        <w:t>四、精神共同体如何成为马来西亚共同体的一部分</w:t>
      </w:r>
    </w:p>
    <w:p>
      <w:r>
        <w:t>如果把华校理解为离散华人的精神共同体，就更必须说明它如何完成马来西亚化。共同文字不能只把学生带回想象中的中国，也要使他们理解马来世界、国家语言、其他族群历史和共同公民责任。马来语在这里不是华文之外的行政负担，而是精神共同体进入国家共同体的关键接口；英语则连接全球知识与职业网络。三语教育的深层意义，正是使文化记忆、国家归属和世界能力不必由一种语言垄断。</w:t>
      </w:r>
    </w:p>
    <w:p>
      <w:r>
        <w:t>这一结构也能重新解释马来社会的角色。华教得以从特定会馆或庙宇空间发展为公开学校，不仅依靠华人内部动员，也依赖马来亚港口社会允许差异社群组织生活的历史空间、殖民与后殖民法律留下的制度位置，以及建国协商对多语教育作出的不完全但真实的容纳。华教的精神共同体不是国家之外的封闭共同体，而是马来西亚多元国家形成过程中被反复协商的一种内部结构。</w:t>
      </w:r>
    </w:p>
    <w:p>
      <w:pPr>
        <w:pStyle w:val="Heading2"/>
      </w:pPr>
      <w:r>
        <w:t>五、竞争性解释与证伪条件</w:t>
      </w:r>
    </w:p>
    <w:p>
      <w:r>
        <w:t>“精神基础设施”必须与至少四种替代解释竞争。语言工具论预期家长选择主要随就业和中国经济价值变化；教育质量论预期纪律、成绩和学校管理比文化认同更能解释入学；政治防御论预期华教动员主要发生在政策威胁时期；组织资源论则预期学校延续取决于商人、会馆与精英资本，而不需要精神共同体解释。如果长期捐助、校友反哺、校庆记忆和跨宗教参与在控制教育质量与经济收益后仍然显著，精神机制才获得额外解释力。</w:t>
      </w:r>
    </w:p>
    <w:p>
      <w:r>
        <w:t>强命题的失败条件同样明确：若多数参与者只把华校视为升学工具；若跨宗教家庭并未形成共享的文化或责任语言；若学校实践事实上由单一宗教支配并排斥其他信仰；若普通家庭、女性、青年和非华裔参与者无法进入共同体叙事；或若共同书写与记忆活动已从日常教育中消失，那么“华教是精神共同体关键基础”的结论必须降级。</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016"/>
            <w:shd w:fill="E8EEF2"/>
            <w:vAlign w:val="center"/>
            <w:tcMar>
              <w:top w:w="100" w:type="dxa"/>
              <w:start w:w="120" w:type="dxa"/>
              <w:bottom w:w="100" w:type="dxa"/>
              <w:end w:w="120" w:type="dxa"/>
            </w:tcMar>
          </w:tcPr>
          <w:p>
            <w:r>
              <w:rPr>
                <w:rFonts w:ascii="Noto Sans CJK SC" w:hAnsi="Noto Sans CJK SC" w:eastAsia="Noto Sans CJK SC"/>
                <w:b/>
                <w:sz w:val="18"/>
              </w:rPr>
              <w:t>待检验命题</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马来文史料</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华文史料</w:t>
            </w:r>
          </w:p>
        </w:tc>
        <w:tc>
          <w:tcPr>
            <w:tcW w:type="dxa" w:w="2736"/>
            <w:shd w:fill="E8EEF2"/>
            <w:vAlign w:val="center"/>
            <w:tcMar>
              <w:top w:w="100" w:type="dxa"/>
              <w:start w:w="120" w:type="dxa"/>
              <w:bottom w:w="100" w:type="dxa"/>
              <w:end w:w="120" w:type="dxa"/>
            </w:tcMar>
          </w:tcPr>
          <w:p>
            <w:r>
              <w:rPr>
                <w:rFonts w:ascii="Noto Sans CJK SC" w:hAnsi="Noto Sans CJK SC" w:eastAsia="Noto Sans CJK SC"/>
                <w:b/>
                <w:sz w:val="18"/>
              </w:rPr>
              <w:t>田野证据</w:t>
            </w:r>
          </w:p>
        </w:tc>
      </w:tr>
      <w:tr>
        <w:tc>
          <w:tcPr>
            <w:tcW w:type="dxa" w:w="201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宗教生态多元且组织分散</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人口普查宗教分类；tokong、persatuan与komuniti研究；州属档案</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庙志、碑记、香油簿、会馆章程、善堂与教会档案</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家庭宗教组合、跨宗教参与访谈</w:t>
            </w:r>
          </w:p>
        </w:tc>
      </w:tr>
      <w:tr>
        <w:tc>
          <w:tcPr>
            <w:tcW w:type="dxa" w:w="201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庙馆为早期教育提供组织技术</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殖民地土地、社团、教育及宗教场所记录</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义学章程、捐款簿、董事名录、校史与报刊</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旧址关系、管理知识与口述谱系</w:t>
            </w:r>
          </w:p>
        </w:tc>
      </w:tr>
      <w:tr>
        <w:tc>
          <w:tcPr>
            <w:tcW w:type="dxa" w:w="201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华校跨越方言与宗教边界</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dasar pendidikan、bahasa ibunda与identiti研究</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招生册、课程、教师资料、校刊与华教论述</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学生家庭宗教/方言背景及校园观察</w:t>
            </w:r>
          </w:p>
        </w:tc>
      </w:tr>
      <w:tr>
        <w:tc>
          <w:tcPr>
            <w:tcW w:type="dxa" w:w="201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华教生产精神与公共责任</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马来文社会整合、团结与多元教育争论</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校歌、校训、毕业刊、校庆、义演与校友文本</w:t>
            </w:r>
          </w:p>
        </w:tc>
        <w:tc>
          <w:tcPr>
            <w:tcW w:type="dxa" w:w="273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择校理由、捐助动机、记忆与归属叙事</w:t>
            </w:r>
          </w:p>
        </w:tc>
      </w:tr>
    </w:tbl>
    <w:p>
      <w:pPr>
        <w:spacing w:after="20"/>
      </w:pPr>
    </w:p>
    <w:p>
      <w:pPr>
        <w:pStyle w:val="Heading2"/>
      </w:pPr>
      <w:r>
        <w:t>六、马来文与华文史料不是互译关系</w:t>
      </w:r>
    </w:p>
    <w:p>
      <w:r>
        <w:t>本章将马来文材料提升为核心证据，而非用来补充华文自述。华文报刊、校史、庙志和会馆记录能够揭示共同体如何理解自身，但容易强化英雄史与文化守护叙事；马来文政策、学术研究、议会论辩与公众评论，则能揭示国家整合、宗教秩序、语言政治及马来社会如何观看华校。两类材料之间的不一致不是需要消除的噪音，而是华教在马来西亚社会中真实位置的证据。</w:t>
      </w:r>
    </w:p>
    <w:p>
      <w:r>
        <w:t>尤其需要避免把马来文文献仅当作“反对华教的声音”。现有马来文研究内部同时存在国家整合论、母语教育研究、少数族群文化存续论、教育质量论与跨文化对话论。正式章节必须辨认作者、机构、时期和论证对象，不能用一个立场代表整个马来学术界。同样，华文史料也须区分董事、教师、报人、家长、学生、宗教团体和政党，不能把“华社”写成单一发言者。</w:t>
      </w:r>
    </w:p>
    <w:p>
      <w:pPr>
        <w:pStyle w:val="Heading2"/>
      </w:pPr>
      <w:r>
        <w:t>七、章级暂时结论</w:t>
      </w:r>
    </w:p>
    <w:p>
      <w:r>
        <w:t>本章提出的原创判断是：马来西亚华人宗教生活越呈现复合、地方化和非排他性，华教作为跨宗教公共制度的作用就越值得重视。庙宇保存神圣谱系，会馆保存乡缘与互助，学校则把不同来源的人组织进共同儿童、共同文字与共同未来。它们不是替代关系，而是功能分化后的协同网络。华教之所以可能成为世界非物质文化遗产，不只是因为它保存华文，更因为它展示了一个没有统一教会的离散群体如何借共同教育形成精神连续，又如何把这种连续嵌入一个多宗教、多语言的现代国家。</w:t>
      </w:r>
    </w:p>
    <w:p>
      <w:r>
        <w:t>当前结论等级为D级研究假设，部分关系获得B/C级材料支持。升级为强命题至少需要：跨州庙馆校档案链；华文与马来文同时代舆论对读；不同宗教家庭的代际访谈；校训、仪式和课程的内容分析；以及与宗教同质性较高或中文学校断裂地区的比较。</w:t>
      </w:r>
    </w:p>
    <w:p>
      <w:pPr>
        <w:pStyle w:val="Heading1"/>
      </w:pPr>
      <w:r>
        <w:t>Chapter 21  Many Gods, Shared Schools: Education as a Spiritual Infrastructure of Diaspora</w:t>
      </w:r>
    </w:p>
    <w:p>
      <w:r>
        <w:t>The Malaysian Chinese have never been without religion. Their religious lives have encompassed Buddhism, Daoism, ancestral rites, Confucian moral repertoires, territorial and occupational deities, Christianity, Islam, and a wide range of combinatory popular practices. The analytically defensible claim is therefore not that the Chinese possessed no religion, but that no single church, creed, or exclusive membership regime historically encompassed Chinese communities divided by locality, speech group, occupation, class, and migration history.</w:t>
      </w:r>
    </w:p>
    <w:p>
      <w:r>
        <w:t>Temples could generate intense local solidarity while remaining anchored in particular networks of deity, place, trade, or dialect. Schools gradually introduced a different principle of association. Children from families of different religious affiliations could enter the same institution through a common written language, graded curricula, teaching professions, school rituals, alumni ties, and the public obligation to educate a succeeding generation. In this qualified sense, Chinese education became a secular infrastructure of community: secular not because it expelled religion, but because participation did not require assent to one faith.</w:t>
      </w:r>
    </w:p>
    <w:p>
      <w:r>
        <w:t>This chapter advances the spiritual-infrastructure hypothesis. Under conditions of religious plurality and organizational segmentation, Chinese education became one of the few durable institutions capable of producing common symbols, historical memory, moral vocabulary, and intergenerational responsibility across internal boundaries. It was neither a substitute for religion nor the sole source of Chinese identity. Rather, it supplied a shared grammar within which different religious traditions could coexist while households and associations collaborated in building schools.</w:t>
      </w:r>
    </w:p>
    <w:p>
      <w:r>
        <w:t>The hypothesis also clarifies the importance of trilingualism. Chinese connected cultural memory and inherited knowledge; Malay located the community within a shared national and civic world; English connected pupils to global knowledge and occupational mobility. These functions were unequal and historically contested, yet their coexistence allowed spiritual continuity, national belonging, and global capacity to be distributed across languages rather than monopolized by one of them.</w:t>
      </w:r>
    </w:p>
    <w:p>
      <w:r>
        <w:t>The argument remains falsifiable. It weakens if school choice is explained almost entirely by examination performance or labour-market returns; if families of different religions do not share a vocabulary of educational responsibility; if school practices privilege one religion and exclude others; or if ordinary households, women, young people, and non-Chinese participants are absent from the institution’s authorized memory. Archival evidence must therefore be combined with intergenerational interviews, school ethnography, and comparisons with Chinese diasporic settings where educational continuity was broken.</w:t>
      </w:r>
    </w:p>
    <w:p>
      <w:r>
        <w:t>The heritage implication is precise. What may merit safeguarding is not a civilizational essence and not an administrative privilege. It is the accumulated knowledge by which a religiously heterogeneous diaspora repeatedly converts donations, trust, language, memory, and voluntary labour into education, and by which that educational community has learned—never completely and never without conflict—to inhabit a multilingual Malaysian nation.</w:t>
      </w:r>
    </w:p>
    <w:p>
      <w:r>
        <w:br w:type="page"/>
      </w:r>
    </w:p>
    <w:p>
      <w:pPr>
        <w:pStyle w:val="Heading1"/>
      </w:pPr>
      <w:r>
        <w:t>第二十二章　庙、馆、塾、校：共同体制度的功能分化</w:t>
      </w:r>
    </w:p>
    <w:p>
      <w:r>
        <w:t>“庙—馆—塾—校”不是必然演进序列，而是需要逐地重建的关系结构。庙宇提供神圣授权、香火财产与公共信用；会馆组织籍贯、方言和互助；义学把慈善资源转换为识字机会；现代学校则以儿童、课程、教师和学年建立跨籍贯的长期制度。某些地点四者同址或共享董事，另一些地点则彼此竞争。只有契约、碑记、账簿、章程、招生册与报刊能够闭合时，才能主张存在组织转换。</w:t>
      </w:r>
    </w:p>
    <w:p>
      <w:r>
        <w:t>本书据此把“华教精神共同体”界定为一种关系成果：它不是由共同信仰直接产生，而是由不同信仰者持续共同办学产生。宗教多元是结构条件，共同文字是认知接口，学校治理是组织接口，儿童未来是时间接口，马来西亚公民身份则是政治接口。</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656"/>
            <w:shd w:fill="E8EEF2"/>
            <w:vAlign w:val="center"/>
            <w:tcMar>
              <w:top w:w="100" w:type="dxa"/>
              <w:start w:w="120" w:type="dxa"/>
              <w:bottom w:w="100" w:type="dxa"/>
              <w:end w:w="120" w:type="dxa"/>
            </w:tcMar>
          </w:tcPr>
          <w:p>
            <w:r>
              <w:rPr>
                <w:rFonts w:ascii="Noto Sans CJK SC" w:hAnsi="Noto Sans CJK SC" w:eastAsia="Noto Sans CJK SC"/>
                <w:b/>
                <w:sz w:val="18"/>
              </w:rPr>
              <w:t>检验单元</w:t>
            </w:r>
          </w:p>
        </w:tc>
        <w:tc>
          <w:tcPr>
            <w:tcW w:type="dxa" w:w="2880"/>
            <w:shd w:fill="E8EEF2"/>
            <w:vAlign w:val="center"/>
            <w:tcMar>
              <w:top w:w="100" w:type="dxa"/>
              <w:start w:w="120" w:type="dxa"/>
              <w:bottom w:w="100" w:type="dxa"/>
              <w:end w:w="120" w:type="dxa"/>
            </w:tcMar>
          </w:tcPr>
          <w:p>
            <w:r>
              <w:rPr>
                <w:rFonts w:ascii="Noto Sans CJK SC" w:hAnsi="Noto Sans CJK SC" w:eastAsia="Noto Sans CJK SC"/>
                <w:b/>
                <w:sz w:val="18"/>
              </w:rPr>
              <w:t>必须取得的华文史料</w:t>
            </w:r>
          </w:p>
        </w:tc>
        <w:tc>
          <w:tcPr>
            <w:tcW w:type="dxa" w:w="3024"/>
            <w:shd w:fill="E8EEF2"/>
            <w:vAlign w:val="center"/>
            <w:tcMar>
              <w:top w:w="100" w:type="dxa"/>
              <w:start w:w="120" w:type="dxa"/>
              <w:bottom w:w="100" w:type="dxa"/>
              <w:end w:w="120" w:type="dxa"/>
            </w:tcMar>
          </w:tcPr>
          <w:p>
            <w:r>
              <w:rPr>
                <w:rFonts w:ascii="Noto Sans CJK SC" w:hAnsi="Noto Sans CJK SC" w:eastAsia="Noto Sans CJK SC"/>
                <w:b/>
                <w:sz w:val="18"/>
              </w:rPr>
              <w:t>必须取得的马来文/官方史料</w:t>
            </w:r>
          </w:p>
        </w:tc>
        <w:tc>
          <w:tcPr>
            <w:tcW w:type="dxa" w:w="2232"/>
            <w:shd w:fill="E8EEF2"/>
            <w:vAlign w:val="center"/>
            <w:tcMar>
              <w:top w:w="100" w:type="dxa"/>
              <w:start w:w="120" w:type="dxa"/>
              <w:bottom w:w="100" w:type="dxa"/>
              <w:end w:w="120" w:type="dxa"/>
            </w:tcMar>
          </w:tcPr>
          <w:p>
            <w:r>
              <w:rPr>
                <w:rFonts w:ascii="Noto Sans CJK SC" w:hAnsi="Noto Sans CJK SC" w:eastAsia="Noto Sans CJK SC"/>
                <w:b/>
                <w:sz w:val="18"/>
              </w:rPr>
              <w:t>判定</w:t>
            </w:r>
          </w:p>
        </w:tc>
      </w:tr>
      <w:tr>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庙志、会馆簿册、五福书院与学校档案</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土地注册、社团与教育报告、马来文地方史</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是否存在可证的庙馆校转换</w:t>
            </w:r>
          </w:p>
        </w:tc>
      </w:tr>
      <w:tr>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马六甲</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青云亭碑记、义山与学校记录</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Warisan、州档案及马来文研究</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宗教公共权威如何转为教育责任</w:t>
            </w:r>
          </w:p>
        </w:tc>
      </w:tr>
      <w:tr>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吉隆坡/雪兰莪</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广肇会馆、关帝庙、义学及校董记录</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殖民市政、教育与社团档案</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业缘乡缘资源的教育化</w:t>
            </w:r>
          </w:p>
        </w:tc>
      </w:tr>
      <w:tr>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柔佛</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五帮庙宇、中华公会与学校档案</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Johor州档案及马来文地方史</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跨方言联合是否先于学校整合</w:t>
            </w:r>
          </w:p>
        </w:tc>
      </w:tr>
      <w:tr>
        <w:tc>
          <w:tcPr>
            <w:tcW w:type="dxa" w:w="165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沙巴/砂拉越</w:t>
            </w:r>
          </w:p>
        </w:tc>
        <w:tc>
          <w:tcPr>
            <w:tcW w:type="dxa" w:w="28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教会、庙宇、方言学校与商会材料</w:t>
            </w:r>
          </w:p>
        </w:tc>
        <w:tc>
          <w:tcPr>
            <w:tcW w:type="dxa" w:w="30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北婆罗洲/砂拉越教育报告</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不同殖民制度下的替代路径</w:t>
            </w:r>
          </w:p>
        </w:tc>
      </w:tr>
    </w:tbl>
    <w:p>
      <w:pPr>
        <w:spacing w:after="20"/>
      </w:pPr>
    </w:p>
    <w:p>
      <w:pPr>
        <w:pStyle w:val="Heading1"/>
      </w:pPr>
      <w:r>
        <w:t>Chapter 22  Temple, Association, Free School and Modern School</w:t>
      </w:r>
    </w:p>
    <w:p>
      <w:r>
        <w:t>The temple–association–free school–modern school sequence is treated here as a hypothesis, not an evolutionary law. Temples could supply sacred authority, property and public credit; associations organized locality, speech group and mutual aid; free schools converted charity into literacy; modern schools reorganized children, teachers, curricula and time. The spiritual community of Chinese education emerged not from religious uniformity but from recurrent cooperation among people who did not need to share one faith.</w:t>
      </w:r>
    </w:p>
    <w:p>
      <w:r>
        <w:br w:type="page"/>
      </w:r>
    </w:p>
    <w:p>
      <w:pPr>
        <w:pStyle w:val="Heading1"/>
      </w:pPr>
      <w:r>
        <w:t>第二十三章　教育何以成为非物质文化遗产</w:t>
      </w:r>
    </w:p>
    <w:p>
      <w:pPr>
        <w:pStyle w:val="Heading2"/>
      </w:pPr>
      <w:r>
        <w:t>一、申遗的真正难点</w:t>
      </w:r>
    </w:p>
    <w:p>
      <w:r>
        <w:t>华校是现代学校，具有课程、考试、教师岗位、法人财产和国家监管；这些制度事实本身不构成非物质文化遗产。联合国教科文组织《2003年公约》保护的是共同体认定并代际传递的实践、表述、知识与技能，而不是一个组织类型获得永久特权。因此，申报对象必须从“华文学校制度”进一步收束为：马来西亚相关社区持续把捐助、信用、志愿劳动、语言知识、治理经验与历史记忆转化为公共教育的共同办学知识。</w:t>
      </w:r>
    </w:p>
    <w:p>
      <w:r>
        <w:t>教育与非遗并不相斥。公约体系明确把正规和非正规教育视为保护活态遗产的重要场域，也承认学校可以传承地方知识与实践。但“非遗进入教育”不等于“教育制度本身就是非遗”。本项目必须证明的，是共同办学具有可辨识的实践单元、承载者、传授方式、社会意义和当代生命，而不能只证明学校存在已久。</w:t>
      </w:r>
    </w:p>
    <w:p>
      <w:pPr>
        <w:pStyle w:val="Heading2"/>
      </w:pPr>
      <w:r>
        <w:t>二、五项标准的逐项论证</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728"/>
            <w:shd w:fill="E8EEF2"/>
            <w:vAlign w:val="center"/>
            <w:tcMar>
              <w:top w:w="100" w:type="dxa"/>
              <w:start w:w="120" w:type="dxa"/>
              <w:bottom w:w="100" w:type="dxa"/>
              <w:end w:w="120" w:type="dxa"/>
            </w:tcMar>
          </w:tcPr>
          <w:p>
            <w:r>
              <w:rPr>
                <w:rFonts w:ascii="Noto Sans CJK SC" w:hAnsi="Noto Sans CJK SC" w:eastAsia="Noto Sans CJK SC"/>
                <w:b/>
                <w:sz w:val="18"/>
              </w:rPr>
              <w:t>标准</w:t>
            </w:r>
          </w:p>
        </w:tc>
        <w:tc>
          <w:tcPr>
            <w:tcW w:type="dxa" w:w="3168"/>
            <w:shd w:fill="E8EEF2"/>
            <w:vAlign w:val="center"/>
            <w:tcMar>
              <w:top w:w="100" w:type="dxa"/>
              <w:start w:w="120" w:type="dxa"/>
              <w:bottom w:w="100" w:type="dxa"/>
              <w:end w:w="120" w:type="dxa"/>
            </w:tcMar>
          </w:tcPr>
          <w:p>
            <w:r>
              <w:rPr>
                <w:rFonts w:ascii="Noto Sans CJK SC" w:hAnsi="Noto Sans CJK SC" w:eastAsia="Noto Sans CJK SC"/>
                <w:b/>
                <w:sz w:val="18"/>
              </w:rPr>
              <w:t>本项目必须证明</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现有基础</w:t>
            </w:r>
          </w:p>
        </w:tc>
        <w:tc>
          <w:tcPr>
            <w:tcW w:type="dxa" w:w="2448"/>
            <w:shd w:fill="E8EEF2"/>
            <w:vAlign w:val="center"/>
            <w:tcMar>
              <w:top w:w="100" w:type="dxa"/>
              <w:start w:w="120" w:type="dxa"/>
              <w:bottom w:w="100" w:type="dxa"/>
              <w:end w:w="120" w:type="dxa"/>
            </w:tcMar>
          </w:tcPr>
          <w:p>
            <w:r>
              <w:rPr>
                <w:rFonts w:ascii="Noto Sans CJK SC" w:hAnsi="Noto Sans CJK SC" w:eastAsia="Noto Sans CJK SC"/>
                <w:b/>
                <w:sz w:val="18"/>
              </w:rPr>
              <w:t>主要缺口</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R.1 遗产定义</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共同体将共同办学知识认定为自身遗产；持续传递且符合人权与可持续发展</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董事、教师、筹款、校庆和三语实践已有结构描述</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跨州、跨代际、跨宗教的共同体自我认定尚待田野</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R.2 可见度与对话</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列入有助于理解迁徙社会、多语教育与文化多样性，而非制造族群优越</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文明再植与多元国家命题已形成</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须证明跨族群公共价值及国际比较代表性</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R.3 保护措施</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有具体、可执行、可评估且由社区参与制定的保护计划</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档案、治理知识、教师与青年指标已提出</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责任主体、预算、时间表和风险评估未完成</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R.4 广泛参与同意</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承载者充分参与申报并给予自由、事先和知情同意</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已识别董事、教师、家长、学生、校友等群体</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不得由单一全国组织代替全部社区授权</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R.5 国家清单</w:t>
            </w:r>
          </w:p>
        </w:tc>
        <w:tc>
          <w:tcPr>
            <w:tcW w:type="dxa" w:w="316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项目已依马来西亚程序列入相关非遗清单</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已定位Act 645和国家遗产登记制度</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须由马来西亚主管部门确认类别、程序和清单状态</w:t>
            </w:r>
          </w:p>
        </w:tc>
      </w:tr>
    </w:tbl>
    <w:p>
      <w:pPr>
        <w:spacing w:after="20"/>
      </w:pPr>
    </w:p>
    <w:p>
      <w:pPr>
        <w:pStyle w:val="Heading2"/>
      </w:pPr>
      <w:r>
        <w:t>三、最强反对意见：这只是学校制度</w:t>
      </w:r>
    </w:p>
    <w:p>
      <w:r>
        <w:t>反对者可以提出：共同筹款、董事治理、校庆和语言教学广泛存在于世界各类学校，把它们组合起来申报会导致非遗概念无限扩张。这个反对意见成立，除非本书能够证明马来西亚案例形成了具有历史特定性的组合：社区在殖民分置教育、战争断裂、国家教育重组和语言权力不对称中，持续以跨宗教、跨籍贯网络生产完整教育；其知识不仅体现在组织章程，还通过筹款、董事交接、教师培养、校史记忆和家庭择校代际传递。</w:t>
      </w:r>
    </w:p>
    <w:p>
      <w:r>
        <w:t>因此，遗产单元不能写成“重视教育”这种普遍价值，也不能等同于学校日常行政。它应被拆解为可观察的实践：如何发起建校与复校；如何把分散小额捐助转化为长期校产；如何在董事、专业校长与国家监管之间配置责任；如何通过义演、校庆和校友反哺更新公共承诺；如何在华语、马来语和英语之间传递知识而不把文化连续变成政治分离。</w:t>
      </w:r>
    </w:p>
    <w:p>
      <w:pPr>
        <w:pStyle w:val="Heading2"/>
      </w:pPr>
      <w:r>
        <w:t>四、从代表名录到优秀保护实践</w:t>
      </w:r>
    </w:p>
    <w:p>
      <w:r>
        <w:t>本项目不应过早锁定唯一申报渠道。若核心目标是确认一种活态传统，可以研究代表作名录；若最具国际价值的是社区、学校、档案机构和政府共同建立的保护机制，则“优秀保护实践名册”可能提供另一种制度想象。后者不是降低目标，而是把重点由身份确认转向可复制的方法。不过，任何路线都必须先完成国内清单、共同体参与和保护计划，学术专著不能替代法定程序。</w:t>
      </w:r>
    </w:p>
    <w:p>
      <w:pPr>
        <w:pStyle w:val="Heading2"/>
      </w:pPr>
      <w:r>
        <w:t>五、全球比较的判定单位</w:t>
      </w:r>
    </w:p>
    <w:p>
      <w:r>
        <w:t>全球比较不能只统计哪里有中文学校。真正的比较单位是功能组合：是否提供完整学历教育；传承语是否为主要知识媒介；是否跨越小学、中学与高等教育；社区是否长期承担土地、财政与治理；国家体系内外是否并存；是否形成全国性董事、教师和考试网络；是否同时系统教授国家语言与英语；制度是否跨越战争、禁令或改制而延续。</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728"/>
            <w:shd w:fill="E8EEF2"/>
            <w:vAlign w:val="center"/>
            <w:tcMar>
              <w:top w:w="100" w:type="dxa"/>
              <w:start w:w="120" w:type="dxa"/>
              <w:bottom w:w="100" w:type="dxa"/>
              <w:end w:w="120" w:type="dxa"/>
            </w:tcMar>
          </w:tcPr>
          <w:p>
            <w:r>
              <w:rPr>
                <w:rFonts w:ascii="Noto Sans CJK SC" w:hAnsi="Noto Sans CJK SC" w:eastAsia="Noto Sans CJK SC"/>
                <w:b/>
                <w:sz w:val="18"/>
              </w:rPr>
              <w:t>案例</w:t>
            </w:r>
          </w:p>
        </w:tc>
        <w:tc>
          <w:tcPr>
            <w:tcW w:type="dxa" w:w="3240"/>
            <w:shd w:fill="E8EEF2"/>
            <w:vAlign w:val="center"/>
            <w:tcMar>
              <w:top w:w="100" w:type="dxa"/>
              <w:start w:w="120" w:type="dxa"/>
              <w:bottom w:w="100" w:type="dxa"/>
              <w:end w:w="120" w:type="dxa"/>
            </w:tcMar>
          </w:tcPr>
          <w:p>
            <w:r>
              <w:rPr>
                <w:rFonts w:ascii="Noto Sans CJK SC" w:hAnsi="Noto Sans CJK SC" w:eastAsia="Noto Sans CJK SC"/>
                <w:b/>
                <w:sz w:val="18"/>
              </w:rPr>
              <w:t>关键比较问题</w:t>
            </w:r>
          </w:p>
        </w:tc>
        <w:tc>
          <w:tcPr>
            <w:tcW w:type="dxa" w:w="2520"/>
            <w:shd w:fill="E8EEF2"/>
            <w:vAlign w:val="center"/>
            <w:tcMar>
              <w:top w:w="100" w:type="dxa"/>
              <w:start w:w="120" w:type="dxa"/>
              <w:bottom w:w="100" w:type="dxa"/>
              <w:end w:w="120" w:type="dxa"/>
            </w:tcMar>
          </w:tcPr>
          <w:p>
            <w:r>
              <w:rPr>
                <w:rFonts w:ascii="Noto Sans CJK SC" w:hAnsi="Noto Sans CJK SC" w:eastAsia="Noto Sans CJK SC"/>
                <w:b/>
                <w:sz w:val="18"/>
              </w:rPr>
              <w:t>预期作用</w:t>
            </w:r>
          </w:p>
        </w:tc>
        <w:tc>
          <w:tcPr>
            <w:tcW w:type="dxa" w:w="2448"/>
            <w:shd w:fill="E8EEF2"/>
            <w:vAlign w:val="center"/>
            <w:tcMar>
              <w:top w:w="100" w:type="dxa"/>
              <w:start w:w="120" w:type="dxa"/>
              <w:bottom w:w="100" w:type="dxa"/>
              <w:end w:w="120" w:type="dxa"/>
            </w:tcMar>
          </w:tcPr>
          <w:p>
            <w:r>
              <w:rPr>
                <w:rFonts w:ascii="Noto Sans CJK SC" w:hAnsi="Noto Sans CJK SC" w:eastAsia="Noto Sans CJK SC"/>
                <w:b/>
                <w:sz w:val="18"/>
              </w:rPr>
              <w:t>结论边界</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新加坡</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华校如何被国家英语教育体系整合与转型</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显示强国家整合路径</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不能把文化活动等同完整华文教育</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印度尼西亚</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禁止与复兴如何造成制度断裂</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提供断裂—再生对照</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改革后“三语学校”规模与功能须逐校核验</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泰国</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同化政策与市场化中英泰学校如何交替</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区分历史传承与新型私校需求</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不能因有三种课程语言即判同型</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菲律宾</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华校菲律宾化后华语的课程位置</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比较私校、国家课程与社群治理</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须区分华语科目与华语知识媒介</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文莱</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小规模华校在马来语—英语体系中的存续</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最接近区域对照</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规模较小不等于遗产价值较低</w:t>
            </w:r>
          </w:p>
        </w:tc>
      </w:tr>
      <w:tr>
        <w:tc>
          <w:tcPr>
            <w:tcW w:type="dxa" w:w="172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欧美周末中文学校</w:t>
            </w:r>
          </w:p>
        </w:tc>
        <w:tc>
          <w:tcPr>
            <w:tcW w:type="dxa" w:w="324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社区志愿治理与文化传递</w:t>
            </w:r>
          </w:p>
        </w:tc>
        <w:tc>
          <w:tcPr>
            <w:tcW w:type="dxa" w:w="252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检验共同办学的普遍性</w:t>
            </w:r>
          </w:p>
        </w:tc>
        <w:tc>
          <w:tcPr>
            <w:tcW w:type="dxa" w:w="244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非全日制、非学历功能构成关键差异</w:t>
            </w:r>
          </w:p>
        </w:tc>
      </w:tr>
    </w:tbl>
    <w:p>
      <w:pPr>
        <w:spacing w:after="20"/>
      </w:pPr>
    </w:p>
    <w:p>
      <w:pPr>
        <w:pStyle w:val="Heading2"/>
      </w:pPr>
      <w:r>
        <w:t>六、暂时结论</w:t>
      </w:r>
    </w:p>
    <w:p>
      <w:r>
        <w:t>现阶段最稳健的结论不是“马来西亚华教已经符合世界非遗”，而是它具有进入非遗论证的严肃可能性。其候选价值不在学校数量或华文历史本身，而在一个宗教多元的迁徙共同体如何跨越两百年，把社会信任反复转换为教育，并在马来西亚国家内部形成三语、跨制度、可再生的公共传统。能否申报成功，取决于共同体是否如此认定、保护措施是否真实可行，以及全球比较能否证明这一组合具有代表性而非仅仅特殊。</w:t>
      </w:r>
    </w:p>
    <w:p>
      <w:pPr>
        <w:pStyle w:val="Heading1"/>
      </w:pPr>
      <w:r>
        <w:t>Chapter 23  When Can Education Become Living Heritage?</w:t>
      </w:r>
    </w:p>
    <w:p>
      <w:r>
        <w:t>Chinese schools are modern institutions governed by curricula, examinations, employment, property and public law. None of these features is, by itself, intangible cultural heritage. The defensible heritage element is narrower: the historically accumulated knowledge through which Malaysian communities convert donations, trust, voluntary labour, linguistic competence, governance experience and social memory into education across generations.</w:t>
      </w:r>
    </w:p>
    <w:p>
      <w:r>
        <w:t>The strongest objection is conceptual inflation. Fundraising, school boards and commemorations exist in many educational systems. The Malaysian case becomes heritage-relevant only if research demonstrates a historically specific and living configuration: full-time education sustained across colonial classification, war, nation-building and language asymmetry; community governance operating both within and outside the national system; and trilingual practices connecting cultural transmission, citizenship and global capability.</w:t>
      </w:r>
    </w:p>
    <w:p>
      <w:r>
        <w:t>The five UNESCO criteria must be treated as evidence gates rather than promotional headings. Community recognition is required for R.1; intercultural visibility rather than ethnic celebration for R.2; a funded and measurable safeguarding plan for R.3; broad, free, prior and informed participation for R.4; and prior inclusion in a Malaysian inventory for R.5. Failure at any gate prevents a responsible nomination claim.</w:t>
      </w:r>
    </w:p>
    <w:p>
      <w:r>
        <w:t>The book therefore does not pronounce inscription in advance. It establishes a testable proposition: Malaysian Chinese community schooling may represent a major human practice of civilizational re-rooting, but only the communities concerned, acting within Malaysian law and in dialogue with the country’s plural society, can authorize that practice as their living heritage.</w:t>
      </w:r>
    </w:p>
    <w:p>
      <w:r>
        <w:br w:type="page"/>
      </w:r>
    </w:p>
    <w:p>
      <w:pPr>
        <w:pStyle w:val="Heading1"/>
      </w:pPr>
      <w:r>
        <w:t>第二十四章　两百年的制度时间：1819—2026证据年表</w:t>
      </w:r>
    </w:p>
    <w:p>
      <w:r>
        <w:t>本章不把年代排列成庆典式编年，而把每一节点理解为一次结构转换。时间线的任务是回答：共同办学的行动者、资源、授权、知识媒介和风险何时发生变化。下表属于第一轮证据底盘；A表示已定位可核原件，B表示多源互证，C表示单源或仍需核定，D表示研究假设。具体法条、统计口径和地方执行仍须在正式章节逐项注释。</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224"/>
            <w:shd w:fill="E8EEF2"/>
            <w:vAlign w:val="center"/>
            <w:tcMar>
              <w:top w:w="100" w:type="dxa"/>
              <w:start w:w="120" w:type="dxa"/>
              <w:bottom w:w="100" w:type="dxa"/>
              <w:end w:w="120" w:type="dxa"/>
            </w:tcMar>
          </w:tcPr>
          <w:p>
            <w:r>
              <w:rPr>
                <w:rFonts w:ascii="Noto Sans CJK SC" w:hAnsi="Noto Sans CJK SC" w:eastAsia="Noto Sans CJK SC"/>
                <w:b/>
                <w:sz w:val="18"/>
              </w:rPr>
              <w:t>时间</w:t>
            </w:r>
          </w:p>
        </w:tc>
        <w:tc>
          <w:tcPr>
            <w:tcW w:type="dxa" w:w="2232"/>
            <w:shd w:fill="E8EEF2"/>
            <w:vAlign w:val="center"/>
            <w:tcMar>
              <w:top w:w="100" w:type="dxa"/>
              <w:start w:w="120" w:type="dxa"/>
              <w:bottom w:w="100" w:type="dxa"/>
              <w:end w:w="120" w:type="dxa"/>
            </w:tcMar>
          </w:tcPr>
          <w:p>
            <w:r>
              <w:rPr>
                <w:rFonts w:ascii="Noto Sans CJK SC" w:hAnsi="Noto Sans CJK SC" w:eastAsia="Noto Sans CJK SC"/>
                <w:b/>
                <w:sz w:val="18"/>
              </w:rPr>
              <w:t>节点</w:t>
            </w:r>
          </w:p>
        </w:tc>
        <w:tc>
          <w:tcPr>
            <w:tcW w:type="dxa" w:w="3888"/>
            <w:shd w:fill="E8EEF2"/>
            <w:vAlign w:val="center"/>
            <w:tcMar>
              <w:top w:w="100" w:type="dxa"/>
              <w:start w:w="120" w:type="dxa"/>
              <w:bottom w:w="100" w:type="dxa"/>
              <w:end w:w="120" w:type="dxa"/>
            </w:tcMar>
          </w:tcPr>
          <w:p>
            <w:r>
              <w:rPr>
                <w:rFonts w:ascii="Noto Sans CJK SC" w:hAnsi="Noto Sans CJK SC" w:eastAsia="Noto Sans CJK SC"/>
                <w:b/>
                <w:sz w:val="18"/>
              </w:rPr>
              <w:t>结构变化</w:t>
            </w:r>
          </w:p>
        </w:tc>
        <w:tc>
          <w:tcPr>
            <w:tcW w:type="dxa" w:w="2376"/>
            <w:shd w:fill="E8EEF2"/>
            <w:vAlign w:val="center"/>
            <w:tcMar>
              <w:top w:w="100" w:type="dxa"/>
              <w:start w:w="120" w:type="dxa"/>
              <w:bottom w:w="100" w:type="dxa"/>
              <w:end w:w="120" w:type="dxa"/>
            </w:tcMar>
          </w:tcPr>
          <w:p>
            <w:r>
              <w:rPr>
                <w:rFonts w:ascii="Noto Sans CJK SC" w:hAnsi="Noto Sans CJK SC" w:eastAsia="Noto Sans CJK SC"/>
                <w:b/>
                <w:sz w:val="18"/>
              </w:rPr>
              <w:t>证据状态</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1819</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五福书院传统起点说</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会馆/书塾起源叙事进入华教公共记忆</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C：存在重大争议，不作“第一所”定论</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1850s—1890s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港口、矿区与城镇义学增加</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庙宇、会馆、商人和方言群体把互助资源转为识字教育</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C：须逐校核档</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1904</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槟城中华学校现代化节点</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跨方言、现代课程和公共办学获得新组织形式</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B：校史与研究互证，待核原件</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1910s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现代华校与中等教育扩展</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固定年级、专业教师、女子教育与报刊筹款发展</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B/C</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学校注册立法</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学校、管理者与教师成为殖民国家可登记和干预对象</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A：法令与同期报刊</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1920s—1930s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注册、检查、补助与学校网络扩张</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地方信用被转译为章程、名册、账目和行政责任</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B：执行差异待逐州核</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1941—1945</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战争与日本占领</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停办、伤亡、占用和档案损毁造成实体断裂</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B：规模需统一口径</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1945—1949</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战后复校</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校友、教师、董事与家庭重新激活办学网络</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B：年报与校史须对读</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1951</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巴恩报告与芬吴报告</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单一化与复合多语国民教育方案竞争</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A：报告原文</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1952</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教育条例</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殖民政府尝试把竞争方案转为统一政策</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A：条例；执行效果待核</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1954</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全国华校董事组织形成</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地方董事治理获得全国协调接口</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B：组织档案待系统核读</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1956—1957</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拉萨报告、教育条例与独立</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共同课程、国语目标和国民型学校结构制度化</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A：报告与条例</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1960—1961</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达立报告与教育法</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华文中学面对改制选择，制度后继发生分流</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A：法令待逐条精读</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1960s—1970s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改制、独中存续与复兴</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国家体系内华小与体系外独中形成双重结构</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B：须补逐校决策记录</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1970s—1980s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独中课程与统一考试制度化</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社区开始稳定生产跨校知识标准与认证</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B：董总档案</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1980s—1990s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校友、义演和全国筹款网络扩展</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媒体、企业、学校与地方公众形成周期性资源转换</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B/C：金额须审计</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1996</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教育法Act 550</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现行教育法律框架重新分类与规制学校</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A：法令原文待条文矩阵</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2000s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民办高等教育与数字网络发展</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华文知识传承向高教、档案与跨境资源延伸</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2010s</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非华裔入读与三语价值受到关注</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华校公共性出现新的参与者与解释权问题</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B/C：需连续统计</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2020—2022</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疫情与远程教学</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课堂载体骤变，数字能力成为连续性条件</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B：须做学校比较</w:t>
            </w:r>
          </w:p>
        </w:tc>
      </w:tr>
      <w:tr>
        <w:tc>
          <w:tcPr>
            <w:tcW w:type="dxa" w:w="122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2023—2026</w:t>
            </w:r>
          </w:p>
        </w:tc>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筹款规范、语言政治与遗产讨论</w:t>
            </w:r>
          </w:p>
        </w:tc>
        <w:tc>
          <w:tcPr>
            <w:tcW w:type="dxa" w:w="38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活态传统在新规范中继续协商，不应被冻结</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C/D：本书研究阶段</w:t>
            </w:r>
          </w:p>
        </w:tc>
      </w:tr>
    </w:tbl>
    <w:p>
      <w:pPr>
        <w:spacing w:after="20"/>
      </w:pPr>
    </w:p>
    <w:p>
      <w:pPr>
        <w:pStyle w:val="Heading2"/>
      </w:pPr>
      <w:r>
        <w:t>时间序列的失败条件</w:t>
      </w:r>
    </w:p>
    <w:p>
      <w:r>
        <w:t>学校数、学生数和教师数只有在地域范围、学校类别、统计日期和教育层级一致时才可比较。海峡殖民地、马来联邦、马来亚联合邦、马来亚联合邦与1963年后的马来西亚并非同一统计疆域；“华校”“受助学校”“国民型学校”“独中”和私塾也不是稳定类别。正式量化图表必须保留原始分类，并另建同口径子序列，不能用一条看似连续的曲线掩盖国家疆域和制度定义的变化。</w:t>
      </w:r>
    </w:p>
    <w:p>
      <w:pPr>
        <w:pStyle w:val="Heading1"/>
      </w:pPr>
      <w:r>
        <w:t>第二十五章　三十所学校：共同办学传统的分层案例库</w:t>
      </w:r>
    </w:p>
    <w:p>
      <w:r>
        <w:t>三十校不是名校榜单，也不预设其均可代表华教。抽样同时覆盖海峡港口、矿业城镇、首都圈、半岛东海岸、柔佛以及沙巴、砂拉越；覆盖华小、独中、改制学校、教会关联学校和民办高教前身。每校必须完成“创办—校产—董事—教师—课程—危机—复校/迁校—筹款—校友—三语实践”十项编码。下列名称为第一轮候选，须由校方和档案原件确认正式名称与历史阶段。</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152"/>
            <w:shd w:fill="E8EEF2"/>
            <w:vAlign w:val="center"/>
            <w:tcMar>
              <w:top w:w="100" w:type="dxa"/>
              <w:start w:w="120" w:type="dxa"/>
              <w:bottom w:w="100" w:type="dxa"/>
              <w:end w:w="120" w:type="dxa"/>
            </w:tcMar>
          </w:tcPr>
          <w:p>
            <w:r>
              <w:rPr>
                <w:rFonts w:ascii="Noto Sans CJK SC" w:hAnsi="Noto Sans CJK SC" w:eastAsia="Noto Sans CJK SC"/>
                <w:b/>
                <w:sz w:val="18"/>
              </w:rPr>
              <w:t>地区</w:t>
            </w:r>
          </w:p>
        </w:tc>
        <w:tc>
          <w:tcPr>
            <w:tcW w:type="dxa" w:w="2664"/>
            <w:shd w:fill="E8EEF2"/>
            <w:vAlign w:val="center"/>
            <w:tcMar>
              <w:top w:w="100" w:type="dxa"/>
              <w:start w:w="120" w:type="dxa"/>
              <w:bottom w:w="100" w:type="dxa"/>
              <w:end w:w="120" w:type="dxa"/>
            </w:tcMar>
          </w:tcPr>
          <w:p>
            <w:r>
              <w:rPr>
                <w:rFonts w:ascii="Noto Sans CJK SC" w:hAnsi="Noto Sans CJK SC" w:eastAsia="Noto Sans CJK SC"/>
                <w:b/>
                <w:sz w:val="18"/>
              </w:rPr>
              <w:t>候选案例</w:t>
            </w:r>
          </w:p>
        </w:tc>
        <w:tc>
          <w:tcPr>
            <w:tcW w:type="dxa" w:w="1944"/>
            <w:shd w:fill="E8EEF2"/>
            <w:vAlign w:val="center"/>
            <w:tcMar>
              <w:top w:w="100" w:type="dxa"/>
              <w:start w:w="120" w:type="dxa"/>
              <w:bottom w:w="100" w:type="dxa"/>
              <w:end w:w="120" w:type="dxa"/>
            </w:tcMar>
          </w:tcPr>
          <w:p>
            <w:r>
              <w:rPr>
                <w:rFonts w:ascii="Noto Sans CJK SC" w:hAnsi="Noto Sans CJK SC" w:eastAsia="Noto Sans CJK SC"/>
                <w:b/>
                <w:sz w:val="18"/>
              </w:rPr>
              <w:t>结构类型</w:t>
            </w:r>
          </w:p>
        </w:tc>
        <w:tc>
          <w:tcPr>
            <w:tcW w:type="dxa" w:w="3960"/>
            <w:shd w:fill="E8EEF2"/>
            <w:vAlign w:val="center"/>
            <w:tcMar>
              <w:top w:w="100" w:type="dxa"/>
              <w:start w:w="120" w:type="dxa"/>
              <w:bottom w:w="100" w:type="dxa"/>
              <w:end w:w="120" w:type="dxa"/>
            </w:tcMar>
          </w:tcPr>
          <w:p>
            <w:r>
              <w:rPr>
                <w:rFonts w:ascii="Noto Sans CJK SC" w:hAnsi="Noto Sans CJK SC" w:eastAsia="Noto Sans CJK SC"/>
                <w:b/>
                <w:sz w:val="18"/>
              </w:rPr>
              <w:t>主要检验</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五福书院/相关后继机构</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起源争议型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检验会馆、书塾与纪念叙事</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槟城中华学校</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现代转型型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跨方言办学与现代课程</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锺灵中学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中等教育/改制型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董事网络、战争复校与制度转换</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韩江学校体系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报业—学校—高教型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潮州社群资源及教育层级延伸</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日新学校体系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城镇网络型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威省地方社会与制度分流</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霹雳</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怡保育才学校体系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矿业城镇型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商人、会馆与现代教育</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霹雳</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怡保培南学校体系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跨层级型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董事治理与校友网络</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霹雳</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深斋中学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地方筹资与中学自主</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霹雳</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三德国民型中学及前身</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教会/改制型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宗教组织、华教与国家体系</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尊孔学校体系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首都公共型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儒家命名、跨宗教教育与改制</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坤成学校体系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女子教育型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性别、城市华社与制度分流</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循人中学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独中复兴型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城市筹资、课程与统考</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中华独立中学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独中治理型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首都圈董事与规模化</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雪兰莪</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巴生兴华学校体系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港河城镇型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地方商贸网络与双轨结构</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雪兰莪</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巴生光华学校体系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改制/后继型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同源学校的不同制度路径</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雪兰莪</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巴生滨华学校体系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女性与社区型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地方组织和校友反哺</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森美兰</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芙蓉中华学校体系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州府网络型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州属董事协调与教育层级</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马六甲</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培风中学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海峡城市独中型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庙馆华社、战争与独中延续</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柔佛</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宽柔学校体系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超大型跨层级型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五帮合作、校产扩张与分校</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柔佛</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居銮中华中学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内陆城镇独中型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地方经济与董事治理</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柔佛</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笨珍培群学校体系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县域共同办学型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小城社会与代际筹资</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柔佛</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永平中学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乡镇独中型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人口变动中的持续性</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彭亨</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关丹中华中学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新设/恢复型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政策协商与当代社区动员</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吉兰丹</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吉兰丹中华学校体系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东海岸少数型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马来多数环境中的多语共存</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登嘉楼</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登嘉楼中华维新学校体系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东海岸港口型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地方化、方言与马来语接口</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沙巴</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亚庇建国学校体系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北婆罗洲城市型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殖民差异与华社治理</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沙巴</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沙巴崇正中学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客家网络、三语与州属环境</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沙巴</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山打根育源学校体系</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港口迁徙型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庙宇、教会、方言学校与战争</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砂拉越</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古晋中华第一中学</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砂拉越历史型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不同殖民政体下的华教路径</w:t>
            </w:r>
          </w:p>
        </w:tc>
      </w:tr>
      <w:tr>
        <w:tc>
          <w:tcPr>
            <w:tcW w:type="dxa" w:w="115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砂拉越</w:t>
            </w:r>
          </w:p>
        </w:tc>
        <w:tc>
          <w:tcPr>
            <w:tcW w:type="dxa" w:w="26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诗巫公教中学及华教关联网络</w:t>
            </w:r>
          </w:p>
        </w:tc>
        <w:tc>
          <w:tcPr>
            <w:tcW w:type="dxa" w:w="194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教会/地方社会型</w:t>
            </w:r>
          </w:p>
        </w:tc>
        <w:tc>
          <w:tcPr>
            <w:tcW w:type="dxa" w:w="396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宗教组织、福州移民与教育</w:t>
            </w:r>
          </w:p>
        </w:tc>
      </w:tr>
    </w:tbl>
    <w:p>
      <w:pPr>
        <w:spacing w:after="20"/>
      </w:pPr>
    </w:p>
    <w:p>
      <w:pPr>
        <w:pStyle w:val="Heading2"/>
      </w:pPr>
      <w:r>
        <w:t>案例准入规则</w:t>
      </w:r>
    </w:p>
    <w:p>
      <w:r>
        <w:t>候选学校只有在至少取得一种同期原件和两种独立来源后，才从C级线索升级为正式案例。校庆特刊可证明学校如何记忆自身，不能单独证明创校事实；现存校舍不能证明早期连续授课；学校官网不能替代董事会议、政府注册和同期报刊。若校方拒绝开放材料，该校仍可作为“记忆治理”案例，但不得承担关键历史命题。</w:t>
      </w:r>
    </w:p>
    <w:p>
      <w:pPr>
        <w:pStyle w:val="Heading1"/>
      </w:pPr>
      <w:r>
        <w:t>Chapter 25  Thirty Schools as a Stratified Case Archive</w:t>
      </w:r>
    </w:p>
    <w:p>
      <w:r>
        <w:t>The thirty-school archive is not a league table of prestigious institutions. It is a stratified research design spanning port cities, mining towns, metropolitan regions, eastern Peninsular states, Johor, Sabah and Sarawak, and different institutional successors. Each case will be coded across ten dimensions: founding, property, boards, teachers, curriculum, crisis, reopening or relocation, fundraising, alumni and trilingual practice. Admission to the evidentiary core requires at least one contemporaneous primary record and two independent sources.</w:t>
      </w:r>
    </w:p>
    <w:p>
      <w:r>
        <w:br w:type="page"/>
      </w:r>
    </w:p>
    <w:p>
      <w:pPr>
        <w:pStyle w:val="Heading1"/>
      </w:pPr>
      <w:r>
        <w:t>附录一　档案调查总目录（第一轮）</w:t>
      </w:r>
    </w:p>
    <w:p>
      <w:r>
        <w:t>以下目录记录已定位的馆藏系统与拟查材料。馆藏条目不等于内容已经核实；正式引用须取得原件页码、档号、形成机关与使用许可。</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088"/>
            <w:shd w:fill="E8EEF2"/>
            <w:vAlign w:val="center"/>
            <w:tcMar>
              <w:top w:w="100" w:type="dxa"/>
              <w:start w:w="120" w:type="dxa"/>
              <w:bottom w:w="100" w:type="dxa"/>
              <w:end w:w="120" w:type="dxa"/>
            </w:tcMar>
          </w:tcPr>
          <w:p>
            <w:r>
              <w:rPr>
                <w:rFonts w:ascii="Noto Sans CJK SC" w:hAnsi="Noto Sans CJK SC" w:eastAsia="Noto Sans CJK SC"/>
                <w:b/>
                <w:sz w:val="18"/>
              </w:rPr>
              <w:t>馆藏/来源</w:t>
            </w:r>
          </w:p>
        </w:tc>
        <w:tc>
          <w:tcPr>
            <w:tcW w:type="dxa" w:w="4680"/>
            <w:shd w:fill="E8EEF2"/>
            <w:vAlign w:val="center"/>
            <w:tcMar>
              <w:top w:w="100" w:type="dxa"/>
              <w:start w:w="120" w:type="dxa"/>
              <w:bottom w:w="100" w:type="dxa"/>
              <w:end w:w="120" w:type="dxa"/>
            </w:tcMar>
          </w:tcPr>
          <w:p>
            <w:r>
              <w:rPr>
                <w:rFonts w:ascii="Noto Sans CJK SC" w:hAnsi="Noto Sans CJK SC" w:eastAsia="Noto Sans CJK SC"/>
                <w:b/>
                <w:sz w:val="18"/>
              </w:rPr>
              <w:t>重点材料</w:t>
            </w:r>
          </w:p>
        </w:tc>
        <w:tc>
          <w:tcPr>
            <w:tcW w:type="dxa" w:w="2592"/>
            <w:shd w:fill="E8EEF2"/>
            <w:vAlign w:val="center"/>
            <w:tcMar>
              <w:top w:w="100" w:type="dxa"/>
              <w:start w:w="120" w:type="dxa"/>
              <w:bottom w:w="100" w:type="dxa"/>
              <w:end w:w="120" w:type="dxa"/>
            </w:tcMar>
          </w:tcPr>
          <w:p>
            <w:r>
              <w:rPr>
                <w:rFonts w:ascii="Noto Sans CJK SC" w:hAnsi="Noto Sans CJK SC" w:eastAsia="Noto Sans CJK SC"/>
                <w:b/>
                <w:sz w:val="18"/>
              </w:rPr>
              <w:t>当前状态</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马来西亚国家档案馆 OFA</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华校、教育部华文教育助理主任、学校出版物、校舍与州教育档案</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已定位多项目录；需现场/注册调阅</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英国国家档案馆 Colonial Office 系列</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学校注册、教育年报、华校政治与安全报告、去殖民化教育政策</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待按 CO 档号系统检索</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新加坡国家图书馆 NewspaperSG</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1920学校注册法案、华校请愿、芬吴报告、林连玉与战后争论</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可检索全文与报纸版面</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马来西亚统计局 StatsDigital</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1921、1931、1947、1957人口与教育统计</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已定位1931历史统计图册</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马来亚政府公报与教育年报</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学校数、学生数、拨款、检查与教师</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需逐年建立时间序列</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董总档案与华教资料中心</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章程、会议记录、课程、统考、州属组织与学校资料</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需取得机构合作</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教总与林连玉基金档案</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教师组织、政策文书、人物函件与公共教育论述</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需取得机构合作</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华校校史与周年特刊</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创校、董事、捐款、复校、校庆与校友</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建立跨州分层样本</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华文报刊档案</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筹款、论争、招生、校务与公共舆论</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南洋商报、星洲日报、中国报等</w:t>
            </w:r>
          </w:p>
        </w:tc>
      </w:tr>
      <w:tr>
        <w:tc>
          <w:tcPr>
            <w:tcW w:type="dxa" w:w="208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口述历史</w:t>
            </w:r>
          </w:p>
        </w:tc>
        <w:tc>
          <w:tcPr>
            <w:tcW w:type="dxa" w:w="468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董事、教师、家长、学生、校友、筹款组织者与非华裔参与者</w:t>
            </w:r>
          </w:p>
        </w:tc>
        <w:tc>
          <w:tcPr>
            <w:tcW w:type="dxa" w:w="259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按代际、地区和角色抽样</w:t>
            </w:r>
          </w:p>
        </w:tc>
      </w:tr>
    </w:tbl>
    <w:p>
      <w:pPr>
        <w:spacing w:after="20"/>
      </w:pPr>
    </w:p>
    <w:p>
      <w:pPr>
        <w:pStyle w:val="Heading1"/>
      </w:pPr>
      <w:r>
        <w:t>附录二　档案图片调查卡（第一轮）</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864"/>
            <w:shd w:fill="E8EEF2"/>
            <w:vAlign w:val="center"/>
            <w:tcMar>
              <w:top w:w="100" w:type="dxa"/>
              <w:start w:w="120" w:type="dxa"/>
              <w:bottom w:w="100" w:type="dxa"/>
              <w:end w:w="120" w:type="dxa"/>
            </w:tcMar>
          </w:tcPr>
          <w:p>
            <w:r>
              <w:rPr>
                <w:rFonts w:ascii="Noto Sans CJK SC" w:hAnsi="Noto Sans CJK SC" w:eastAsia="Noto Sans CJK SC"/>
                <w:b/>
                <w:sz w:val="18"/>
              </w:rPr>
              <w:t>编号</w:t>
            </w:r>
          </w:p>
        </w:tc>
        <w:tc>
          <w:tcPr>
            <w:tcW w:type="dxa" w:w="3312"/>
            <w:shd w:fill="E8EEF2"/>
            <w:vAlign w:val="center"/>
            <w:tcMar>
              <w:top w:w="100" w:type="dxa"/>
              <w:start w:w="120" w:type="dxa"/>
              <w:bottom w:w="100" w:type="dxa"/>
              <w:end w:w="120" w:type="dxa"/>
            </w:tcMar>
          </w:tcPr>
          <w:p>
            <w:r>
              <w:rPr>
                <w:rFonts w:ascii="Noto Sans CJK SC" w:hAnsi="Noto Sans CJK SC" w:eastAsia="Noto Sans CJK SC"/>
                <w:b/>
                <w:sz w:val="18"/>
              </w:rPr>
              <w:t>图像主题</w:t>
            </w:r>
          </w:p>
        </w:tc>
        <w:tc>
          <w:tcPr>
            <w:tcW w:type="dxa" w:w="2808"/>
            <w:shd w:fill="E8EEF2"/>
            <w:vAlign w:val="center"/>
            <w:tcMar>
              <w:top w:w="100" w:type="dxa"/>
              <w:start w:w="120" w:type="dxa"/>
              <w:bottom w:w="100" w:type="dxa"/>
              <w:end w:w="120" w:type="dxa"/>
            </w:tcMar>
          </w:tcPr>
          <w:p>
            <w:r>
              <w:rPr>
                <w:rFonts w:ascii="Noto Sans CJK SC" w:hAnsi="Noto Sans CJK SC" w:eastAsia="Noto Sans CJK SC"/>
                <w:b/>
                <w:sz w:val="18"/>
              </w:rPr>
              <w:t>拟定来源</w:t>
            </w:r>
          </w:p>
        </w:tc>
        <w:tc>
          <w:tcPr>
            <w:tcW w:type="dxa" w:w="2376"/>
            <w:shd w:fill="E8EEF2"/>
            <w:vAlign w:val="center"/>
            <w:tcMar>
              <w:top w:w="100" w:type="dxa"/>
              <w:start w:w="120" w:type="dxa"/>
              <w:bottom w:w="100" w:type="dxa"/>
              <w:end w:w="120" w:type="dxa"/>
            </w:tcMar>
          </w:tcPr>
          <w:p>
            <w:r>
              <w:rPr>
                <w:rFonts w:ascii="Noto Sans CJK SC" w:hAnsi="Noto Sans CJK SC" w:eastAsia="Noto Sans CJK SC"/>
                <w:b/>
                <w:sz w:val="18"/>
              </w:rPr>
              <w:t>权利/核验状态</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I-001</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1920年联邦马来州教育法案及华校校长请愿报纸版面</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NewspaperSG / The Straits Times, 31 Jul 1920</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可研究引用；出版授权待核</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I-002</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1925年学校注册条例修订报道版面</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NewspaperSG / Straits Echo, 18 Mar 1925</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可研究引用；出版授权待核</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I-003</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1951年芬吴报告封面、目录与关键页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政府印刷本/馆藏复制件</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需取得高清原件</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I-004</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1951年巴恩—芬吴报告审议文本</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Government Press, Kuala Lumpur</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已定位书目与扫描件</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I-005</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1950年代林连玉及教总公共活动照片</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教总/林连玉基金/报刊</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需机构授权</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I-006</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早期华校校舍与师生合影</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各校周年特刊</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需逐校确认年代与人物</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I-007</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战后复校、筹款或临时校舍照片</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校史特刊/国家档案馆</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待查</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I-008</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1950年代华教群众大会与请愿</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华文报刊/组织档案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待查</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I-009</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华文中学改制时期校门、校牌与会议</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学校档案/报刊</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待查</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I-010</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独中复兴运动照片与文告</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董总/独中档案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待查</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I-011</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统考早期试卷、考场与证书</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董总</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需授权</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I-012</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董事会议、捐款簿与建校蓝图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重点抢救类材料</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I-013</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义卖、义演、模拟支票与捐助者合影</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报刊/学校/企业档案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需处理品牌与肖像权</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I-014</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校庆巡游、校歌、纪念碑与校史展</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学校与校友会</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可用于活态传承章节</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I-015</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现代三语课堂与跨族群学生参与</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田野摄影</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须取得学校、教师、家长同意</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I-016</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马来西亚国家档案馆中的华文教材与出版物</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Arkib Negara Malaysia OFA</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已定位目录，需调阅</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I-017</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1931年英属马来亚人口统计图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Department of Statistics Malaysia</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已定位官方数字档案</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I-018</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马来西亚华教义演历史海报与节目单</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报业/企业/学校</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待建连续系列</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I-019</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新纪元及民办高等教育创建材料</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校方档案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待合作</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I-020</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当代董事、教师、学生共同体肖像组</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原创田野摄影</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设计参与式影像协议</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I-021</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《瀛涯胜览》满剌加国相关页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中国哲学书电子化计划/馆藏古籍</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文本已定位；出版用底本待核</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I-022</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《东方志》卷首、马六甲条与航海图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McGill Library/Hakluyt Society数字本</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可研究使用；图版权利逐项确认</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I-023</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Francisco Rodrigues约1512年东南亚航海图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葡萄牙/欧洲公共馆藏</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优先寻找公共领域高清原件</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I-024</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《马来纪年》爪夷文抄本页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马来西亚国家图书馆/英国图书馆/新加坡国家图书馆</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须记录抄本号、年代与授权</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I-025</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《马六甲海法》抄本首页与船上职分条文</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Leiden University Library Cod. Or. 1705/3199</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论文已定位图版；须向馆方申请</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I-026</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十六世纪葡萄牙马六甲城与要塞图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Arquivo Nacional da Torre do Tombo等</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需核绘制年代，不能当作1511现场写生</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I-027</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海峡殖民地年度报告封面与教育统计页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Internet Archive/HathiTrust/英国档案系统</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公共档案；逐册核页码</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I-028</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十九世纪槟城、新加坡与马六甲港口华商活动图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国家档案、博物馆与公共领域版画</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须避免以晚期照片替代早期历史</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I-029</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吉隆坡中华女校开幕历史合影</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Engchoon Kuala Lumpur History Gallery</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已定位；须取得原藏者授权</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I-030</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槟城早期中华学校师生合影</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学校/地方华社档案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已发现转引图；必须追溯原始收藏</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I-031</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五福书院建筑、碑刻、门额与地址变迁</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槟城地方档案/广州府会馆/商务小学</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核心任务：不得用现存建筑直接证明1819授课</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I-032</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1819—1857五福书院相关契约、账簿或碑记</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槟城土地档案、宗祠与家族收藏</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决定“1819起点”证据等级</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I-033</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1920年学校注册法令原文及立法会议页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海峡殖民地与马来联邦政府公报</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需取得完整法令号与页码</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I-034</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1920年华校校长请愿及报刊版面</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The Straits Times/NewspaperSG</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已定位报道，需下载高清版面</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I-035</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锺灵学校1917初创校舍、董事与首届师生</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锺灵校档/校友会/槟城报刊</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校史数据须与同期记录互证</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I-036</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1920—1930年代华校注册证、教师名册与检查表</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马来西亚国家档案馆/英国殖民档案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展示学校如何成为可治理对象</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I-037</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战争期间被占用或毁坏的华校校舍</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学校纪念刊/战争档案</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须核时间地点，避免泛化</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I-038</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1945—1946复校会议、招生与临时课堂</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学校档案/报刊/教育年度报告</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展示关系网络如何重建学校</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I-039</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1951年芬吴报告封面、地图与三语关键页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马来亚政府印刷本</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重点申请可出版扫描</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I-040</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1956拉萨报告与1957教育条例原件</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马来西亚国家档案馆/政府公报</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展示建国协商的制度化</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I-041</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庙宇、会馆、义学与学校的空间关系图</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青云亭、观音亭、关帝庙、鲁班行及相关校档</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逐点核年代，不制作虚假连续谱系</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I-042</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庙产、义学捐款簿、神诞筹资与董事名录</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庙志、碑记、会馆和学校账簿</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核验宗教资源如何转化为教育资源</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I-043</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不同宗教背景师生与校友的共同校园实践</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跨州田野摄影与参与式影像</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须取得知情同意，不以摆拍代替实践</w:t>
            </w:r>
          </w:p>
        </w:tc>
      </w:tr>
      <w:tr>
        <w:tc>
          <w:tcPr>
            <w:tcW w:type="dxa" w:w="8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I-044</w:t>
            </w:r>
          </w:p>
        </w:tc>
        <w:tc>
          <w:tcPr>
            <w:tcW w:type="dxa" w:w="331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马来文报刊和学术期刊中的华校论争版面</w:t>
            </w:r>
          </w:p>
        </w:tc>
        <w:tc>
          <w:tcPr>
            <w:tcW w:type="dxa" w:w="2808"/>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马来文报刊、大学期刊与议会资料</w:t>
            </w:r>
          </w:p>
        </w:tc>
        <w:tc>
          <w:tcPr>
            <w:tcW w:type="dxa" w:w="2376"/>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与同期华文材料进行对读</w:t>
            </w:r>
          </w:p>
        </w:tc>
      </w:tr>
    </w:tbl>
    <w:p>
      <w:pPr>
        <w:spacing w:after="20"/>
      </w:pPr>
    </w:p>
    <w:p>
      <w:pPr>
        <w:pStyle w:val="Heading1"/>
      </w:pPr>
      <w:r>
        <w:t>附录三　田野研究设计</w:t>
      </w:r>
    </w:p>
    <w:p>
      <w:r>
        <w:t>采用“跨州—跨制度—跨代际—跨角色”分层设计。建议选择槟城、霹雳、雪兰莪/吉隆坡、森美兰、马六甲、柔佛、吉兰丹/登嘉楼以及东马若干点位，覆盖老校、迁校、微型华小、城市大型华小、改制中学、独中与民办高等教育。</w:t>
      </w:r>
    </w:p>
    <w:tbl>
      <w:tblPr>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232"/>
            <w:shd w:fill="E8EEF2"/>
            <w:vAlign w:val="center"/>
            <w:tcMar>
              <w:top w:w="100" w:type="dxa"/>
              <w:start w:w="120" w:type="dxa"/>
              <w:bottom w:w="100" w:type="dxa"/>
              <w:end w:w="120" w:type="dxa"/>
            </w:tcMar>
          </w:tcPr>
          <w:p>
            <w:r>
              <w:rPr>
                <w:rFonts w:ascii="Noto Sans CJK SC" w:hAnsi="Noto Sans CJK SC" w:eastAsia="Noto Sans CJK SC"/>
                <w:b/>
                <w:sz w:val="18"/>
              </w:rPr>
              <w:t>角色</w:t>
            </w:r>
          </w:p>
        </w:tc>
        <w:tc>
          <w:tcPr>
            <w:tcW w:type="dxa" w:w="1800"/>
            <w:shd w:fill="E8EEF2"/>
            <w:vAlign w:val="center"/>
            <w:tcMar>
              <w:top w:w="100" w:type="dxa"/>
              <w:start w:w="120" w:type="dxa"/>
              <w:bottom w:w="100" w:type="dxa"/>
              <w:end w:w="120" w:type="dxa"/>
            </w:tcMar>
          </w:tcPr>
          <w:p>
            <w:r>
              <w:rPr>
                <w:rFonts w:ascii="Noto Sans CJK SC" w:hAnsi="Noto Sans CJK SC" w:eastAsia="Noto Sans CJK SC"/>
                <w:b/>
                <w:sz w:val="18"/>
              </w:rPr>
              <w:t>建议最低样本</w:t>
            </w:r>
          </w:p>
        </w:tc>
        <w:tc>
          <w:tcPr>
            <w:tcW w:type="dxa" w:w="4464"/>
            <w:shd w:fill="E8EEF2"/>
            <w:vAlign w:val="center"/>
            <w:tcMar>
              <w:top w:w="100" w:type="dxa"/>
              <w:start w:w="120" w:type="dxa"/>
              <w:bottom w:w="100" w:type="dxa"/>
              <w:end w:w="120" w:type="dxa"/>
            </w:tcMar>
          </w:tcPr>
          <w:p>
            <w:r>
              <w:rPr>
                <w:rFonts w:ascii="Noto Sans CJK SC" w:hAnsi="Noto Sans CJK SC" w:eastAsia="Noto Sans CJK SC"/>
                <w:b/>
                <w:sz w:val="18"/>
              </w:rPr>
              <w:t>核心问题</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现任与前任董事</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40—60人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治理知识如何学习、交接与更新</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教师与校长</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60—80人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三语教学、课程地方化与职业传承</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家长与学生</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100—150人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择校、身份、负担与跨族群经验</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校友与捐助者</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50—70人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教育经历如何转化为反哺责任</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组织与政策人员</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20—30人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国家—社区接口及申遗可行性</w:t>
            </w:r>
          </w:p>
        </w:tc>
      </w:tr>
      <w:tr>
        <w:tc>
          <w:tcPr>
            <w:tcW w:type="dxa" w:w="2232"/>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非华裔参与者</w:t>
            </w:r>
          </w:p>
        </w:tc>
        <w:tc>
          <w:tcPr>
            <w:tcW w:type="dxa" w:w="1800"/>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30—50人</w:t>
            </w:r>
          </w:p>
        </w:tc>
        <w:tc>
          <w:tcPr>
            <w:tcW w:type="dxa" w:w="4464"/>
            <w:vAlign w:val="center"/>
            <w:tcMar>
              <w:top w:w="100" w:type="dxa"/>
              <w:start w:w="120" w:type="dxa"/>
              <w:bottom w:w="100" w:type="dxa"/>
              <w:end w:w="120" w:type="dxa"/>
            </w:tcMar>
          </w:tcPr>
          <w:p>
            <w:pPr>
              <w:spacing w:after="40" w:line="276" w:lineRule="auto"/>
              <w:ind w:firstLine="0"/>
            </w:pPr>
            <w:r>
              <w:rPr>
                <w:rFonts w:ascii="Noto Sans CJK SC" w:hAnsi="Noto Sans CJK SC" w:eastAsia="Noto Sans CJK SC"/>
                <w:sz w:val="17"/>
              </w:rPr>
              <w:t>公共价值、开放性与潜在排除</w:t>
            </w:r>
          </w:p>
        </w:tc>
      </w:tr>
    </w:tbl>
    <w:p>
      <w:pPr>
        <w:spacing w:after="20"/>
      </w:pPr>
    </w:p>
    <w:p>
      <w:r>
        <w:t>所有访谈均须取得知情同意。共同体同意与研究同意不是同一件事：接受访谈不等于支持申遗。书稿应保留不同意见，并设置匿名机制。未成年人影像、课堂观察和学生作品须取得学校及监护人授权。</w:t>
      </w:r>
    </w:p>
    <w:p>
      <w:pPr>
        <w:pStyle w:val="Heading1"/>
      </w:pPr>
      <w:r>
        <w:t>附录四　首轮核心文献与史料</w:t>
      </w:r>
    </w:p>
    <w:p>
      <w:r>
        <w:t>UNESCO, Convention for the Safeguarding of the Intangible Cultural Heritage, 2003；Operational Directives 及当期提名表格。</w:t>
      </w:r>
    </w:p>
    <w:p>
      <w:r>
        <w:t>马欢：《瀛涯胜览》，重点核读“满剌加国”条；版本比较采用古籍影印本与可检索电子文本。</w:t>
      </w:r>
    </w:p>
    <w:p>
      <w:r>
        <w:t>Tomé Pires, The Suma Oriental, written in Malacca and India, 1512—1515, translated and edited by Armando Cortesão, Hakluyt Society, 1944, 2 vols.</w:t>
      </w:r>
    </w:p>
    <w:p>
      <w:r>
        <w:t>Sulalatus Salatin / Sejarah Melayu（《苏丹谱系》/《马来纪年》），须注明采用抄本与现代校勘本，不以文学叙事直接替代编年事实。</w:t>
      </w:r>
    </w:p>
    <w:p>
      <w:r>
        <w:t>Undang-Undang Laut Melaka（《马六甲海法》），参校 Leiden Cod. Or. 1705 (2)、Cod. Or. 3199 (2) 及Liaw Yock Fang校本。</w:t>
      </w:r>
    </w:p>
    <w:p>
      <w:r>
        <w:t>Kenneth R. Hall, “Introduction: Asian Maritime Networking Centered in Fifteenth Century Melaka,” Journal of the Economic and Social History of the Orient 65(3), 2022。</w:t>
      </w:r>
    </w:p>
    <w:p>
      <w:r>
        <w:t>S. Sudarman, Suryadi and Johan Septian Putra, “Further Thoughts on Undang-Undang Laut Melaka,” Journal of Al-Tamaddun 20(1), 2025。</w:t>
      </w:r>
    </w:p>
    <w:p>
      <w:r>
        <w:t>Federation of Malaya, Report on Chinese Schools and the Education of Chinese Malayans (Fenn-Wu Report), 1951。</w:t>
      </w:r>
    </w:p>
    <w:p>
      <w:r>
        <w:t>Straits Settlements, Registration of Schools Ordinance, 1920；Federated Malay States对应学校注册法令、立法会议记录与实施细则。</w:t>
      </w:r>
    </w:p>
    <w:p>
      <w:r>
        <w:t>Straits Settlements / Federated Malay States, Annual Reports on Education, 尤须核读1920、1937及战前最后各年度。</w:t>
      </w:r>
    </w:p>
    <w:p>
      <w:r>
        <w:t>Malayan Union, Annual Report on Education for 1946；Federation of Malaya, Annual Reports on Education for 1948、1949、1952、1953。</w:t>
      </w:r>
    </w:p>
    <w:p>
      <w:r>
        <w:t>梁秉赋：《〈1920年学校注册法令〉的表象与暗流》，《马来西亚华人研究学刊》第27期，2022年，第1—25页。</w:t>
      </w:r>
    </w:p>
    <w:p>
      <w:r>
        <w:t>郑良树：《马来西亚华文教育发展史》第一分册；关于五福书院起源年代的考证须与地方原件复核。</w:t>
      </w:r>
    </w:p>
    <w:p>
      <w:r>
        <w:t>Federation of Malaya, Report on the Barnes Report on Malay Education and the Fenn-Wu Report on Chinese Education, Government Press, 1951。</w:t>
      </w:r>
    </w:p>
    <w:p>
      <w:r>
        <w:t>Federation of Malaya, Razak Report, 1956；Education Ordinance 1957；Education Act 1961；Malaysia Education Act 1996 (Act 550)。</w:t>
      </w:r>
    </w:p>
    <w:p>
      <w:r>
        <w:t>Annual Reports on Education, Straits Settlements / Federated Malay States / Malayan Union / Federation of Malaya，各年。</w:t>
      </w:r>
    </w:p>
    <w:p>
      <w:r>
        <w:t>Department of Statistics Malaysia, British Malaya 1931 historical census materials。</w:t>
      </w:r>
    </w:p>
    <w:p>
      <w:r>
        <w:t>Lee Ting Hui, Chinese Schools in British Malaya: Policies and Politics, 2006。</w:t>
      </w:r>
    </w:p>
    <w:p>
      <w:r>
        <w:t>Kua Kia Soong, The Chinese Schools of Malaysia: A Protean Saga, fourth edition。</w:t>
      </w:r>
    </w:p>
    <w:p>
      <w:r>
        <w:t>Amy H. L. Collins, “Chinese Educationalists in Malaysia,” Asian Survey 46(2), 2006。</w:t>
      </w:r>
    </w:p>
    <w:p>
      <w:r>
        <w:t>Tan Yao Sua, research on decolonization, language policy and Chinese education in Malaya。</w:t>
      </w:r>
    </w:p>
    <w:p>
      <w:r>
        <w:t>陆建胜：《马来（西）亚董教总与华文教育发展之研究（1951—2000）》，2010。</w:t>
      </w:r>
    </w:p>
    <w:p>
      <w:r>
        <w:t>董总、教总、林连玉基金以及各州董联会公开资料、会议文件与华教研究期刊。</w:t>
      </w:r>
    </w:p>
    <w:p>
      <w:r>
        <w:t>NewspaperSG：The Straits Times、Straits Budget、Straits Echo、Malaya Tribune 等同期报刊。</w:t>
      </w:r>
    </w:p>
    <w:p>
      <w:r>
        <w:t>马来西亚华文报刊关于建校、筹款、改制、独中复兴、统考及当代争议的连续资料。</w:t>
      </w:r>
    </w:p>
    <w:p>
      <w:r>
        <w:t>陈志明（Tan Chee-Beng）：Chinese Religion in Malaysia: Temples and Communities, Brill, 2018。</w:t>
      </w:r>
    </w:p>
    <w:p>
      <w:r>
        <w:t>Jean Elizabeth DeBernardi, The Way That Lives in the Heart: Chinese Popular Religion and Spirit Mediums in Penang, Malaysia, Stanford University Press, 2006。</w:t>
      </w:r>
    </w:p>
    <w:p>
      <w:r>
        <w:t>叶俐华：《槟城鲁班行的成立沿革略论》，2017年；须进一步追索鲁班行原始文书。</w:t>
      </w:r>
    </w:p>
    <w:p>
      <w:r>
        <w:t>Yoong Chiee Tye：《Pendidikan Bahasa Ibunda Cina di Malaysia》，Malaysian Journal of Social Sciences and Humanities, 2023。</w:t>
      </w:r>
    </w:p>
    <w:p>
      <w:r>
        <w:t>Syed Ahmad Fathi：《Aspek yang Menghubungkan Orang Cina di Tanah Melayu dengan Negara China, 1850—2000》，Jurnal Melayu Sedunia 8(1), 2025。</w:t>
      </w:r>
    </w:p>
    <w:p>
      <w:r>
        <w:t>马来西亚人口与房屋普查各年宗教、族群、语言表；统计分类不可直接等同实际信仰组合。</w:t>
      </w:r>
    </w:p>
    <w:p>
      <w:r>
        <w:t>青云亭、槟城广福宫、雪隆广肇会馆关帝庙及相关庙馆的碑记、庙志、产业簿、捐款簿与义学记录。</w:t>
      </w:r>
    </w:p>
    <w:p>
      <w:pPr>
        <w:pStyle w:val="Heading1"/>
      </w:pPr>
      <w:r>
        <w:t>附录五　下一版扩写清单</w:t>
      </w:r>
    </w:p>
    <w:p>
      <w:r>
        <w:t>v0.6将建立1819—2026华校数量、学生、教师、财政与组织事件的可比时间序列；完成至少30所学校的校史样本编码；逐条核读1961与1996教育法；并建立庙宇—会馆—义学—学校的跨州档案链。</w:t>
      </w:r>
    </w:p>
    <w:p>
      <w:r>
        <w:t>v0.6将完成共同办学民族志：董事会、教师、筹款、校友、校庆与三语课堂；v0.7完成全球比较与 UNESCO 论证；最终稿必须在社区评阅、马来文同行评议、事实核查和图片版权清理之后定稿。</w:t>
      </w:r>
    </w:p>
    <w:sectPr w:rsidR="00FC693F" w:rsidRPr="0006063C" w:rsidSect="00034616">
      <w:headerReference w:type="default" r:id="rId9"/>
      <w:footerReference w:type="default" r:id="rId10"/>
      <w:pgSz w:w="12240" w:h="15840"/>
      <w:pgMar w:top="1296" w:right="1440" w:bottom="1224"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经典著作工程母稿 v0.8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CJK SC" w:hAnsi="Noto Sans CJK SC" w:eastAsia="Noto Sans CJK SC"/>
        <w:color w:val="6E7882"/>
        <w:sz w:val="16"/>
      </w:rPr>
      <w:t>文明再植 · 马来西亚华教作为人类活态遗产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40"/>
      <w:ind w:firstLine="420"/>
    </w:pPr>
    <w:rPr>
      <w:rFonts w:ascii="Noto Sans CJK SC" w:hAnsi="Noto Sans CJK SC"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Noto Sans CJK SC" w:hAnsi="Noto Sans CJK SC" w:eastAsia="Noto Sans CJK SC"/>
      <w:b/>
      <w:bCs/>
      <w:color w:val="22364A"/>
      <w:sz w:val="34"/>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Noto Sans CJK SC" w:hAnsi="Noto Sans CJK SC" w:eastAsia="Noto Sans CJK SC"/>
      <w:b/>
      <w:bCs/>
      <w:color w:val="36566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CJK SC" w:hAnsi="Noto Sans CJK SC" w:eastAsia="Noto Sans CJK SC"/>
      <w:b/>
      <w:bCs/>
      <w:color w:val="5368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Noto Sans CJK SC" w:hAnsi="Noto Sans CJK SC" w:eastAsia="Noto Sans CJK SC"/>
      <w:b/>
      <w:color w:val="2236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Noto Sans CJK SC" w:hAnsi="Noto Sans CJK SC" w:eastAsia="Noto Sans CJK SC"/>
      <w:b w:val="0"/>
      <w:i/>
      <w:iCs/>
      <w:color w:val="53687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Epigraph">
    <w:name w:val="Book Epigraph"/>
    <w:pPr>
      <w:spacing w:before="160" w:after="240"/>
      <w:ind w:left="936" w:right="936"/>
    </w:pPr>
    <w:rPr>
      <w:rFonts w:ascii="Noto Sans CJK SC" w:hAnsi="Noto Sans CJK SC" w:eastAsia="Noto Sans CJK SC"/>
      <w:i/>
      <w:color w:val="50505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文明再植：全球文明重构中的马来西亚华教</dc:title>
  <dc:subject>马来西亚华教、社区共同办学与人类活态遗产研究母稿</dc:subject>
  <dc:creator>文颜博士</dc:creator>
  <cp:keywords/>
  <dc:description>generated by python-docx</dc:description>
  <cp:lastModifiedBy/>
  <cp:revision>1</cp:revision>
  <dcterms:created xsi:type="dcterms:W3CDTF">2013-12-23T23:15:00Z</dcterms:created>
  <dcterms:modified xsi:type="dcterms:W3CDTF">2013-12-23T23:15:00Z</dcterms:modified>
  <cp:category/>
</cp:coreProperties>
</file>