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成长何以保持开放</w:t>
      </w:r>
    </w:p>
    <w:p>
      <w:pPr>
        <w:pStyle w:val="Subtitle"/>
      </w:pPr>
      <w:r>
        <w:t>——教育权威的限度与学生的异议资格</w:t>
      </w:r>
    </w:p>
    <w:p>
      <w:pPr>
        <w:pStyle w:val="AbstractText"/>
      </w:pPr>
      <w:r>
        <w:rPr>
          <w:b/>
        </w:rPr>
        <w:t>摘  要：</w:t>
      </w:r>
      <w:r>
        <w:t>教育的关系转向使师生之间的相互回应进入理论中心，但关系的形成与改善尚不足以说明教育权威何以正当。教育者既判断学生的能力，又参与安排能力形成、显现和获得承认的条件；当这些安排限制了反证的产生，而学生又须先通过受到争议的能力判断才有资格提出异议时，成长便可能成为维持既有控制的理由。通过概念辨析与对照性思想实验，本文区分任务胜任、获得协助、行动决定和异议资格，提出成长判断的开放性要求：以促进成长为理由的教育干预，应保留与其后果相称的诊断复核、机会调整和权限修正路径；学生进入这些路径的资格，不应取决于其是否已经达到被争议的成熟标准。该要求既容许专业判断、必要限制和长期协助，也反对以师生共识代替知识依据、以能力表现代替主体地位。由此，教育关系的正当性不仅在于它能否促成某种成长，还在于受教者能否参与重新理解和改变判断其成长的条件。</w:t>
      </w:r>
    </w:p>
    <w:p>
      <w:pPr>
        <w:pStyle w:val="Keywords"/>
      </w:pPr>
      <w:r>
        <w:rPr>
          <w:b/>
        </w:rPr>
        <w:t>关键词：</w:t>
      </w:r>
      <w:r>
        <w:t>教育权威；学生主体地位；成长判断；师生关系；异议资格</w:t>
      </w:r>
    </w:p>
    <w:p>
      <w:pPr>
        <w:pStyle w:val="Heading1"/>
      </w:pPr>
      <w:r>
        <w:t>一、从教育的中心到成长的判断</w:t>
      </w:r>
    </w:p>
    <w:p>
      <w:pPr/>
      <w:r>
        <w:t>教育何以需要教师的引导，又何以不能由教师代替学生决定其成长？这一问题并不因师生地位得到尊重而消失。一个学生可以在课堂上被耐心倾听，被允许表达不同见解，也可以拥有充足的练习机会，却仍然没有办法质疑决定这些机会如何分配的判断。教师对他的回答会作出回应，对他的能力却可能保持一种不容重新审视的解释：正因为他尚未成熟，所以需要继续接受安排；至于他对安排的疑问，则被视为尚未成熟的另一种表现。教育的困难由此从谁居于中心，深入到谁能够判定成长，以及这种判定如何接受纠正。</w:t>
      </w:r>
    </w:p>
    <w:p>
      <w:pPr/>
      <w:r>
        <w:t>张祥云、许若林在《走向跨主体性：教育中心说的重构》中提出，以师生关系为中心并非在教师、学生与知识之外增加一个实体中心，而是确认教育发生于相互回应的关系场域。该文尤其重视教育中的非对称干预，以及师生“为离开而相遇”的关系特征</w:t>
      </w:r>
      <w:hyperlink w:anchor="ref_1">
        <w:r>
          <w:rPr>
            <w:vertAlign w:val="superscript"/>
            <w:rFonts w:ascii="Times New Roman" w:hAnsi="Times New Roman"/>
            <w:sz w:val="20"/>
          </w:rPr>
          <w:t>[1]</w:t>
        </w:r>
      </w:hyperlink>
      <w:r>
        <w:t>。这一论述抓住了一个重要事实：教育既需要关系，又不能以维持学生对某位教师的服从作为关系的最终成就。但从师生能够共同生成意义，到学生能够重新审视规定其成长的安排，尚有一段需要论证的距离。关系能否容纳一个尚未被教师承认为成熟、却已经对教师判断提出疑问的学生，是本文的问题起点。</w:t>
      </w:r>
    </w:p>
    <w:p>
      <w:pPr/>
      <w:r>
        <w:t>这一问题有明确的研究前史。冯建军关于主体教育理论向主体间性拓展的研究，已经将主体关系作为教育理论重建的重要方向</w:t>
      </w:r>
      <w:hyperlink w:anchor="ref_2">
        <w:r>
          <w:rPr>
            <w:vertAlign w:val="superscript"/>
            <w:rFonts w:ascii="Times New Roman" w:hAnsi="Times New Roman"/>
            <w:sz w:val="20"/>
          </w:rPr>
          <w:t>[2]</w:t>
        </w:r>
      </w:hyperlink>
      <w:r>
        <w:t>。陈雪强、靳玉乐、徐学福强调学生自我意识、自我体验和自我实现的内在意义，批评以第三人称视角遮蔽学习者的第一人称经验</w:t>
      </w:r>
      <w:hyperlink w:anchor="ref_3">
        <w:r>
          <w:rPr>
            <w:vertAlign w:val="superscript"/>
            <w:rFonts w:ascii="Times New Roman" w:hAnsi="Times New Roman"/>
            <w:sz w:val="20"/>
          </w:rPr>
          <w:t>[3]</w:t>
        </w:r>
      </w:hyperlink>
      <w:r>
        <w:t>。陈延兴则从教育中的“为了你好”出发，讨论成人价值判断如何可能侵夺学生的自主性</w:t>
      </w:r>
      <w:hyperlink w:anchor="ref_4">
        <w:r>
          <w:rPr>
            <w:vertAlign w:val="superscript"/>
            <w:rFonts w:ascii="Times New Roman" w:hAnsi="Times New Roman"/>
            <w:sz w:val="20"/>
          </w:rPr>
          <w:t>[4]</w:t>
        </w:r>
      </w:hyperlink>
      <w:r>
        <w:t>。这些研究说明，发现关系、尊重自我和质疑善意干预都不是有待首次提出的主张。需要继续推进的是：当教育者同时介入学生能力的发展与能力的判定时，学生的经验通过何种方式才能成为纠正教育判断的理由？</w:t>
      </w:r>
    </w:p>
    <w:p>
      <w:pPr/>
      <w:r>
        <w:t>本文将“成长判断”限定为教育者针对学生能否进行某项学习、承担某种责任或获得某类机会所作的能力与准备程度判断。与之相联系、但需要分别讨论的，是以这些判断为根据实施的教育安排。前者是否准确，与后者是否适当，并非同一个问题。这类判断既包括“尚不能独立完成这个实验”一类局部判断，也包括由局部表现向学习路径、能力类型乃至人格成熟程度作出的扩展判断。这里讨论的不是所有教育目标应否预先设定，更不主张取消课程要求和专业标准；所考察的是以学生成长为理由的干预，在何种条件下能够持续获得正当性。</w:t>
      </w:r>
    </w:p>
    <w:p>
      <w:pPr/>
      <w:r>
        <w:t>本文采用概念分析与规范论证，并以明确构造的思想实验辨别容易被合并的情形。基本主张是：成长可以成为教育干预的理由，但不能成为封闭干预之修正路径的理由。学生是否已经胜任一项任务，与学生是否有资格要求复核关于自己的判断，属于不同的问题。教育者若以成长来说明控制的必要，就负有使能力诊断、机会安排及相应权限保持可修正的责任。此处的开放性是教育权威的一项必要限制，并非良好教育的充分条件，也不是关于一切社会权威的完整理论。</w:t>
      </w:r>
    </w:p>
    <w:p>
      <w:pPr>
        <w:pStyle w:val="Heading1"/>
      </w:pPr>
      <w:r>
        <w:t>二、关系的生成并不自行证明教育的正当性</w:t>
      </w:r>
    </w:p>
    <w:p>
      <w:pPr/>
      <w:r>
        <w:t>从实体转向关系的意义，在于拒绝把教师、学生和知识理解为彼此外在的既成对象。学生的兴趣、表达和判断往往形成于具体交往，教师也在回应中修正自己的理解。然而，关系具有生成作用与关系具有教育正当性，不能相互替代。一个共同体能够塑造参与者，不能单凭这一事实证明它所塑造的人和生活是值得追求的。关系同样可能使人更善于辨别理由，也可能使人更熟练地迎合掌握评价权的人。</w:t>
      </w:r>
    </w:p>
    <w:p>
      <w:pPr/>
      <w:r>
        <w:t>这一辨析并不意味着关怀与对话理论忽视权力。诺丁斯明确区分学校或教师为学生设想的需要与学生表达的需要，并承认教育关系中的责任并不对称。她要求教师即使不能满足学生的需要，也应保持回应的可能</w:t>
      </w:r>
      <w:hyperlink w:anchor="ref_5">
        <w:r>
          <w:rPr>
            <w:vertAlign w:val="superscript"/>
            <w:rFonts w:ascii="Times New Roman" w:hAnsi="Times New Roman"/>
            <w:sz w:val="20"/>
          </w:rPr>
          <w:t>[5]</w:t>
        </w:r>
      </w:hyperlink>
      <w:r>
        <w:t>。因而，把关怀概括为教师的善良，把对话概括为双方交换意见，再以此宣布关系理论无法处理教育的非对称性，并不充分。真正的问题是：这些回应能否触及对学生能力的判断及其制度后果，还是仅仅发生在已经决定的机会范围之内？</w:t>
      </w:r>
    </w:p>
    <w:p>
      <w:pPr/>
      <w:r>
        <w:t>可以用一个区别说明这一点。教师说“我理解你希望参加更难的项目”，首先回应了学生的愿望；教师随后解释为什么目前不宜参加，开始提供限制的理由；教师愿意检查这项理由是否来自过窄的表现材料，并允许学生借助适当支持提出新的材料，才进一步打开了判断的修正路径。三者可以在同一次交谈中发生，也可以彼此分离。只有第一种回应时，学生被理解了，却未必有机会改变被安排的位置。</w:t>
      </w:r>
    </w:p>
    <w:p>
      <w:pPr/>
      <w:r>
        <w:t>师生共同接受某种安排，也不能使上述问题自动消失。学生可能经过充分考虑同意继续练习，因而共同决定具有教育意义；也可能只因不愿辜负一位关怀自己的教师而放弃疑问。不能据此断言所有信任都是隐蔽控制，更不能把学生的同意一概解释为被支配。需要辨别的是：当学生不同意时，他仍然能够得到帮助和被认真对待吗？一种教育关系是否可靠，不能只从双方意见一致的时候判断。</w:t>
      </w:r>
    </w:p>
    <w:p>
      <w:pPr/>
      <w:r>
        <w:t>弗莱雷关于提问式教育的论述，已将师生的共同探究与他们面对的世界联系起来，而非把相互认同作为认识的终点</w:t>
      </w:r>
      <w:hyperlink w:anchor="ref_6">
        <w:r>
          <w:rPr>
            <w:vertAlign w:val="superscript"/>
            <w:rFonts w:ascii="Times New Roman" w:hAnsi="Times New Roman"/>
            <w:sz w:val="20"/>
          </w:rPr>
          <w:t>[6]</w:t>
        </w:r>
      </w:hyperlink>
      <w:r>
        <w:t>。这一思想提示我们，师生之外还存在双方都需要回应的对象。数学论证是否成立，不能由师生关系的亲密程度决定；历史解释能否维持，需要接受材料的约束；文学阅读容许多种理解，也须说明解释如何与作品发生关联。共同体可以帮助人接近这些对象，却不能把自身的共同意愿变成对象的全部尺度。</w:t>
      </w:r>
    </w:p>
    <w:p>
      <w:pPr/>
      <w:r>
        <w:t>对于跨主体性而言，由此产生的追问是：共同生成的“我们”，能否保护尚未共享某种理解的“我”？原文已经说明跨主体性不应强制共识，也不应取消个体尊严</w:t>
      </w:r>
      <w:hyperlink w:anchor="ref_1">
        <w:r>
          <w:rPr>
            <w:vertAlign w:val="superscript"/>
            <w:rFonts w:ascii="Times New Roman" w:hAnsi="Times New Roman"/>
            <w:sz w:val="20"/>
          </w:rPr>
          <w:t>[1]</w:t>
        </w:r>
      </w:hyperlink>
      <w:r>
        <w:t>。应当认真对待这一限定，而非将其解释为同化理论。但这种限定还需要落实为更具体的关系要求：学生可以不接受教师对其成长的解释，可以请求改变某种被共同体视为有益的安排，并且不因这些请求被排除在关系之外。相互构成与意见分歧并不矛盾。一个人可以深受教师影响，也可以正是在这种影响中学会对教师提出有根据的反对。</w:t>
      </w:r>
    </w:p>
    <w:p>
      <w:pPr/>
      <w:r>
        <w:t>教育的时间性使这一要求尤为重要。杜威在《民主主义与教育》第四章中反对把未成熟仅仅理解为欠缺，强调生长本身的积极力量，并将依赖理解为可能具有建设意义的相互依赖</w:t>
      </w:r>
      <w:hyperlink w:anchor="ref_7">
        <w:r>
          <w:rPr>
            <w:vertAlign w:val="superscript"/>
            <w:rFonts w:ascii="Times New Roman" w:hAnsi="Times New Roman"/>
            <w:sz w:val="20"/>
          </w:rPr>
          <w:t>[7]</w:t>
        </w:r>
      </w:hyperlink>
      <w:r>
        <w:t>。因此，成长并不必然通往成人样式的完整复制，更不等于从所有关系中独立出来。需要讨论的限度不是教师还剩多少影响，而是这种影响是否允许被重新理解。教师可以长期作为学生信任的人存在，却不应因信任的延续而永久垄断判断学生的资格。</w:t>
      </w:r>
    </w:p>
    <w:p>
      <w:pPr/>
      <w:r>
        <w:t>这也改变了“为离开而相遇”的解释。“离开”不宜被设定为所有教育关系一律消解的终点。师生可能保持终身的友谊，某些学习者也可能长期需要协助。真正应当受到限制的是一种不可争议的定位：学生始终只能在教师认可的样式中显示自己已经成长。教育关系的开放，不在于每个人最终都能独自行动，而在于受教者不会因仍然需要他人，就失去参与解释自身经验和处境的资格。</w:t>
      </w:r>
    </w:p>
    <w:p>
      <w:pPr>
        <w:pStyle w:val="Heading1"/>
      </w:pPr>
      <w:r>
        <w:t>三、成长判断何以形成自我维护</w:t>
      </w:r>
    </w:p>
    <w:p>
      <w:pPr/>
      <w:r>
        <w:t>教育权威的特殊性，首先在于它不只是对一个已经完成的对象作出评价。教师安排学习内容、提供提示、组织活动、解释错误，这些行为改变学生能够做什么；教师选择观察任务、表达方式和评价时点，这些行为改变学生的能力能够怎样被看见；教师据此决定下一阶段的机会，这些行为又影响新的表现。能力形成、证据产生与机会分配因此处于持续关联之中。</w:t>
      </w:r>
    </w:p>
    <w:p>
      <w:pPr/>
      <w:r>
        <w:t>这种关联本身并不构成教育缺陷。伍德、布鲁纳和罗斯关于辅导与支架的经典研究，已经说明成人帮助如何使儿童参与原本不能独立完成的任务</w:t>
      </w:r>
      <w:hyperlink w:anchor="ref_8">
        <w:r>
          <w:rPr>
            <w:vertAlign w:val="superscript"/>
            <w:rFonts w:ascii="Times New Roman" w:hAnsi="Times New Roman"/>
            <w:sz w:val="20"/>
          </w:rPr>
          <w:t>[8]</w:t>
        </w:r>
      </w:hyperlink>
      <w:r>
        <w:t>。先判断困难，再安排支持，并根据新的表现调整支持，是教学的正常工作。不能因为教师影响了学生，便认定教师观察到的一切表现都失去证据意义。一个判断是否具有自我维护的性质，关键在于可能推翻它的材料能否产生、能否被理解，以及能否改变由该判断造成的限制。</w:t>
      </w:r>
    </w:p>
    <w:p>
      <w:pPr/>
      <w:r>
        <w:t>需要警惕的是以下情形：学生因被判断为能力不足而只能参加某类活动，后续评价又仅根据这些活动中的表现作出；当学生提出尝试其他活动的请求时，请求能否受理仍取决于原来的能力判断。如果没有其他可行路径，这套安排便使原判断越来越难被纠正。问题不必表现为分数计算错误。每次评分都可能准确，困难在于这些分数不能充分说明学生在被排除的机会中将如何表现，却被用来继续排除这些机会。</w:t>
      </w:r>
    </w:p>
    <w:p>
      <w:pPr/>
      <w:r>
        <w:t>当代认识不正义研究已经揭示这一问题的重要部分。泰勒指出，为保护学生利益而进行的认识能力画像，也可能在能力主义的概念背景中使结构性不正义获得正当化</w:t>
      </w:r>
      <w:hyperlink w:anchor="ref_9">
        <w:r>
          <w:rPr>
            <w:vertAlign w:val="superscript"/>
            <w:rFonts w:ascii="Times New Roman" w:hAnsi="Times New Roman"/>
            <w:sz w:val="20"/>
          </w:rPr>
          <w:t>[9]</w:t>
        </w:r>
      </w:hyperlink>
      <w:r>
        <w:t>。麦克多诺与泰勒进一步明确论证，教育实践可能参与产生和强化某些能力差异，而这些差异又被用来为相同的教育待遇辩护</w:t>
      </w:r>
      <w:hyperlink w:anchor="ref_10">
        <w:r>
          <w:rPr>
            <w:vertAlign w:val="superscript"/>
            <w:rFonts w:ascii="Times New Roman" w:hAnsi="Times New Roman"/>
            <w:sz w:val="20"/>
          </w:rPr>
          <w:t>[10]</w:t>
        </w:r>
      </w:hyperlink>
      <w:r>
        <w:t>。因此，本文并不把机会限制与能力判断的相互强化当作新发现。本文继续追问的是：即使对当下能力的判断正确，这一判断是否有权同时决定学生能否质疑它，以及它可以支持多大范围、持续多久的控制？需要细化的，是请求纠正的资格，以及纠正必须能够触及哪些对象。</w:t>
      </w:r>
    </w:p>
    <w:p>
      <w:pPr/>
      <w:r>
        <w:t>为回答这一问题，需要把四种经常混用的关系分开。任务胜任关心学生现在能否完成特定活动；获得协助关心什么帮助能使他参与或改进表现；行动决定关心谁对活动是否进行及其后果负责；异议资格关心学生的疑问、反证或不同解释是否能够进入复核。它们彼此相关，却不构成一条从低到高的统一等级。一个学生可能缺乏独立操作的能力，需要持续帮助，由教师作出最终的安全决定，同时仍有资格指出用来评价他的任务没有提供必要材料。</w:t>
      </w:r>
    </w:p>
    <w:p>
      <w:pPr/>
      <w:r>
        <w:t>第一种混淆，是从不胜任推到不能理解任何相关理由。学生不能独立设计一个实验，不意味着他不能指出自己尚未接触过被要求解释的仪器。他的意见是否正确仍须核验，但意见不能仅以其尚不能独立设计实验而被排除。错误可能发生在实验方案，也可能发生在评价条件；前一种能力不足并不使后一种疑问失去意义。</w:t>
      </w:r>
    </w:p>
    <w:p>
      <w:pPr/>
      <w:r>
        <w:t>第二种混淆，是从需要帮助推到应由帮助者包办决定。认识活动中的依赖并不罕见。哈德维格对认识依赖的分析，已说明理性认识无法普遍摆脱对他人专长的依靠</w:t>
      </w:r>
      <w:hyperlink w:anchor="ref_11">
        <w:r>
          <w:rPr>
            <w:vertAlign w:val="superscript"/>
            <w:rFonts w:ascii="Times New Roman" w:hAnsi="Times New Roman"/>
            <w:sz w:val="20"/>
          </w:rPr>
          <w:t>[11]</w:t>
        </w:r>
      </w:hyperlink>
      <w:r>
        <w:t>。在教育中，协助尤其可能是自主参与的条件。由此可以支持教师提供解释、组织练习，却不能不经额外论证就支持教师决定学生在所有事项上的选择。帮助的必要性与决定权限的范围，是两种不同的判断。</w:t>
      </w:r>
    </w:p>
    <w:p>
      <w:pPr/>
      <w:r>
        <w:t>第三种混淆，是从专业判断较可靠推到专业判断无需回答异议。可靠性使教师的意见具有较大分量，却不能使意见免于出现适用范围错误。例如，口头表达困难可能确实影响口头报告，却不足以独自说明学生不能理解相同内容；某次高风险操作不宜开放，也不足以说明替代性的低风险练习应当被取消。越是承认专业判断，越应要求它说明自己判断的是哪一种能力，以及这一判断能支持哪一种安排。</w:t>
      </w:r>
    </w:p>
    <w:p>
      <w:pPr/>
      <w:r>
        <w:t>第四种混淆，是把异议受到考虑等同于异议应被接受。学生可以获得说明、补充材料或再次展示的机会，最终仍未改变原结论。这并不表明开放性是虚假的。开放性要求理由能够产生应有的作用，而不是要求每次争议都以学生获得所希望的结果结束。反过来，教师偶尔接受学生请求，也未必说明原有判断已能被质疑；如果这种接受只是私人恩惠，而没有可理解的根据，同类学生仍可能无从进入相同路径。</w:t>
      </w:r>
    </w:p>
    <w:p>
      <w:pPr/>
      <w:r>
        <w:t>由此可以区分两个容易混淆的循环。一种是教学中的反馈：判断指导安排，安排产生新表现，新表现可能修正判断。另一种是判断的封闭：安排限制了能产生的表现，既有判断又被用来排除改变安排的请求。两者表面上都包含连续评价，区别不在是否有反馈，而在反馈是否容许原来的诊断及其控制后果发生实质改变。教育权威需要的不是摆脱循环，而是避免把反馈变成只能确认自己的过程。</w:t>
      </w:r>
    </w:p>
    <w:p>
      <w:pPr>
        <w:pStyle w:val="Heading1"/>
      </w:pPr>
      <w:r>
        <w:t>四、异议资格不能以成熟认证为前提</w:t>
      </w:r>
    </w:p>
    <w:p>
      <w:pPr/>
      <w:r>
        <w:t>学生为什么在尚未具备成熟判断力时，就有资格质疑教育安排？若仅回答“因为学生也是主体”，便可能把争议留在一个含义宽泛的概念之中。这里需要区分能力的事实判断与地位的规范判断。学生是否有能力独立判断一切，并非其经验应受到认真对待的前提；否则，对谁有资格被认真对待的决定，就可能完全掌握在受到质疑的人手中。</w:t>
      </w:r>
    </w:p>
    <w:p>
      <w:pPr/>
      <w:r>
        <w:t>本文的论证以三个前提为基础：学生是具有自身利益与经验的教育参与者，教育决定须对其负责，而不只是以其未来表现为目标；教育者关于能力与成长的判断可能出错；以促进成长为理由的持续干预，应当回应学生的真实处境及其变化。第一个前提包含一项明确的规范承诺：受到教育决定影响的人，其请求有关决定得到说明与重新考虑的地位，不由该决定所评价的任务成绩授予。它不赋予学生最后决定权，却要求区分一个人是否值得回应与其是否已经胜任某项任务。这些前提不能仅由经验观察证明，也不等于宣称每位学生拥有同样的决定能力。</w:t>
      </w:r>
    </w:p>
    <w:p>
      <w:pPr/>
      <w:r>
        <w:t>这三个前提各有作用。教师可能犯错，可以支持专家之间相互检查，却还不足以说明学生本人为何应当进入纠正过程；学生作为受影响者的当下地位，则要求这种机制不能完全排除学生自身的经验与请求。异议资格所保护的，是使自身处境及相关理由进入重新判断过程的可能。它可以借助沟通支持或适当代理来行使，不要求学生先独立承担完整的论证责任。</w:t>
      </w:r>
    </w:p>
    <w:p>
      <w:pPr/>
      <w:r>
        <w:t>在这些前提下，若将学生提出异议的资格交由受到争议的成长判断决定，就会发生规范上的困难。教育者可以把自己的判断作为听取学生意见的门槛，并用学生未过门槛解释为什么无需听取。这样一来，即使学生指出的恰好是判断本身的错误，他也无法使该错误进入审视。这不是“学生永远正确”的论证，而是说，一项可能出错且对他人具有持续后果的判断，不应单独决定针对自身的纠正请求是否有资格出现。</w:t>
      </w:r>
    </w:p>
    <w:p>
      <w:pPr/>
      <w:r>
        <w:t>比斯塔关于解放逻辑的研究已提醒人们，以帮助他人获得自由为名的教育，也可能延续其所要克服的依附</w:t>
      </w:r>
      <w:hyperlink w:anchor="ref_12">
        <w:r>
          <w:rPr>
            <w:vertAlign w:val="superscript"/>
            <w:rFonts w:ascii="Times New Roman" w:hAnsi="Times New Roman"/>
            <w:sz w:val="20"/>
          </w:rPr>
          <w:t>[12]</w:t>
        </w:r>
      </w:hyperlink>
      <w:r>
        <w:t>。本文所处理的是这一困难的一种具体形态：未来成熟的承诺如何成为推迟当下异议资格的理由。学生需要发展判断力，不能由此推出他在判断力发展完成之前只能被判断。恰恰因为这种发展尚在进行，表达疑问、辨认理由和修正解释才需要教育性的支持，而不宜被作为先决资格预先索取。</w:t>
      </w:r>
    </w:p>
    <w:p>
      <w:pPr/>
      <w:r>
        <w:t>与一般可争议性的政治哲学讨论相比，本文不试图重新发现权威应接受质疑的原则。佩蒂特的相关论述已经构成这一原则的重要思想背景</w:t>
      </w:r>
      <w:hyperlink w:anchor="ref_13">
        <w:r>
          <w:rPr>
            <w:vertAlign w:val="superscript"/>
            <w:rFonts w:ascii="Times New Roman" w:hAnsi="Times New Roman"/>
            <w:sz w:val="20"/>
          </w:rPr>
          <w:t>[13]</w:t>
        </w:r>
      </w:hyperlink>
      <w:r>
        <w:t>。教育问题的特定困难，在于提出质疑所需的语言、材料和实践经验，也可能依赖被质疑者提供。因而，宣布学生可以申诉，并不等于他已经拥有可使用的申诉条件。学校若一面限制某种能力的学习机会，一面要求学生先以这种能力充分证明自己的异议，便可能把形式开放变成事实上的封闭。</w:t>
      </w:r>
    </w:p>
    <w:p>
      <w:pPr/>
      <w:r>
        <w:t>据此，本文提出成长判断的开放性要求：凡以学生成长为理由持续施加的教育限制，都应保留与其风险、期限及后果相称的修正路径；路径应能够触及能力诊断、形成诊断所依赖的机会条件，以及诊断所支持的决定权限；进入路径不能以学生先通过受到争议的能力判断为前提。这里的“不能以……为前提”针对的是异议资格，而非取消一切受理条件。学校可以要求请求与受影响的教育事项有关，可以规范时间和方式，也可以在合理审查后驳回缺乏根据的请求，但不能仅用争议结论本身证明学生不应受到回应。</w:t>
      </w:r>
    </w:p>
    <w:p>
      <w:pPr/>
      <w:r>
        <w:t>开放性首先意味着诊断可以复核。教师需要区分不知道、不会做、尚未展示、缺乏条件和拒绝配合，而不能把这些情况统统折叠为能力不足。一项局部观察应当维持其局部性。面对尚不清楚的表现，暂缓扩大结论也是专业判断的一部分。对复杂能力保留不确定性，不意味着放弃教学，而是避免用一个过早固定的解释组织学生全部的未来。</w:t>
      </w:r>
    </w:p>
    <w:p>
      <w:pPr/>
      <w:r>
        <w:t>其次，开放性意味着证据的产生条件可以调整。重新看一次同样的记录，未必能够发现记录之外的可能。若口头表达速度掩盖了理解，可以考察是否需要更多准备时间、图示或其他表达方式；若学生未获得接触某类内容的机会，应区分未学习与学不会。调整并不意味着任意降低要求。它要求辨认原要求究竟在检验目标能力，还是把与目标无关的表达习惯和资源差异混入了判断。</w:t>
      </w:r>
    </w:p>
    <w:p>
      <w:pPr/>
      <w:r>
        <w:t>再次，开放性意味着诊断正确也不必维持全部控制后果。一个学生确实不能独立完成任务，仍可能有资格参与任务的一部分，或在帮助下尝试新的方式。能力判断在事实层面成立，只能证明某些安排有根据；它不能不经论证就覆盖其他活动、其他时段和其他决定。复核因而既可能纠正错误诊断，也可能限制一个正确诊断被过度使用。</w:t>
      </w:r>
    </w:p>
    <w:p>
      <w:pPr/>
      <w:r>
        <w:t>这些要求与学生参与研究相互衔接。伦迪将空间、表达、倾听者和影响纳入对儿童参与的分析，已说明“有声音”并不等于有充分参与</w:t>
      </w:r>
      <w:hyperlink w:anchor="ref_14">
        <w:r>
          <w:rPr>
            <w:vertAlign w:val="superscript"/>
            <w:rFonts w:ascii="Times New Roman" w:hAnsi="Times New Roman"/>
            <w:sz w:val="20"/>
          </w:rPr>
          <w:t>[14]</w:t>
        </w:r>
      </w:hyperlink>
      <w:r>
        <w:t>。本文特别强调参与对象的区别：学生不只可以在既定机会中表达偏好，还可以要求重新审视机会为何以这种方式分配。由此，参与的教育意义不仅是学生学会如何说话，也在于学校学会如何处理自己可能判断错了、安排窄了或限制过度了的情况。</w:t>
      </w:r>
    </w:p>
    <w:p>
      <w:pPr>
        <w:pStyle w:val="Heading1"/>
      </w:pPr>
      <w:r>
        <w:t>五、两组思想实验：进步与依赖都不能代替正当性判断</w:t>
      </w:r>
    </w:p>
    <w:p>
      <w:pPr/>
      <w:r>
        <w:t>为了辨别上述要求的实际含义，以下构造两组思想实验。它们不来自课堂观察，也不承担证明某类学校普遍存在问题的功能；其用途是比较在不同条件下，关于教育正当性的判断为何应有所不同。</w:t>
      </w:r>
    </w:p>
    <w:p>
      <w:pPr/>
      <w:r>
        <w:t>先设想两间阅读课堂。两位教师都认真备课、耐心辅导，也都允许学生讨论故事的情节与人物。某位学生在限时朗读中表现不佳，两间课堂都因此安排了更多基础练习。随后，学生通过书面批注提出一种对人物动机的解释，并希望参加高年级文本的讨论。两位教师都表示理解这一愿望，也都没有立即同意转组。</w:t>
      </w:r>
    </w:p>
    <w:p>
      <w:pPr/>
      <w:r>
        <w:t>在第一间课堂，教师解释说，进入深入讨论必须先达到朗读流畅标准。学生可以表达感受，却不能要求用批注或其他材料重新评估参与资格；他只能继续参加既有练习，而练习内容无法充分展示其解释复杂文本的能力。在第二间课堂，教师同样重视朗读，却允许把书面批注与适当支持下的讨论作为补充材料，并愿意检查朗读标准在此处是否承担了过多的筛选作用。复核之后，教师可能允许有限参与，也可能仍认为学生缺少该项讨论所需的文本理解，但须说明补充材料为何尚不足以改变判断，以及后续如何复核。</w:t>
      </w:r>
    </w:p>
    <w:p>
      <w:pPr/>
      <w:r>
        <w:t>不妨进一步设定，两位学生在一个学期后都提高了朗读水平，而且满意度相近。即便如此，两间课堂之间的差别仍未消失。第一间课堂把学生的进步理解为适应既定要求；第二间课堂还允许检验既定要求是否恰当地界定了参加讨论的资格。这里并未证明第一位学生未成长，而是说明成长这一结果不足以排除一种正当性缺陷：学生不能使关于机会条件的相关疑问进入实质审视。</w:t>
      </w:r>
    </w:p>
    <w:p>
      <w:pPr/>
      <w:r>
        <w:t>如果认为第一间课堂的问题只在教师选错了测量指标，可以改变设定。假定流畅阅读确实是该项活动不可缺少的条件，教师对学生尚未达标的判断也完全正确。学生仍可以质疑限制是否必须覆盖全部活动：能否提前获得文本，能否参加其中某一环节，能否在下一次复核之前接受不同类型的支持？这些问题没有要求教师把不达标说成达标，而是要求教师说明，一个正确的能力判断何以支持如此广泛的机会限制。这一设定使判断的准确性与控制范围的正当性明确分离。</w:t>
      </w:r>
    </w:p>
    <w:p>
      <w:pPr/>
      <w:r>
        <w:t>再设想一位长期需要沟通协助的学习者。两位教师提供同样稳定的帮助，都不要求他达到独立完成全部任务的标准。其中一位教师持续观察他的反应，允许改变表达工具和活动节奏，也认真对待协助者之间对其意愿的不同解释；另一位教师则认为，既然学习者始终不能自行完整表达，就只能沿用既定安排，关于安排的不同解释不会改变活动方式。</w:t>
      </w:r>
    </w:p>
    <w:p>
      <w:pPr/>
      <w:r>
        <w:t>在这组比较中，协助并未减少，也无需预设今后一定减少。两种关系的差别在于协助能否回应学习者，而非它是否通向无协助的状态。若把不再依赖教师当作教育成功的必要标准，前一种实践便可能被错误地判为失败；若把持续照顾当作关系良好的充分证据，后一种实践又可能被不当地接受。教育中应被限制的是对学习者的不可修正的解释权，不是支持本身的持续存在。</w:t>
      </w:r>
    </w:p>
    <w:p>
      <w:pPr/>
      <w:r>
        <w:t>当然，长期协助也使解释更加困难。一个动作可以表示疲劳、兴趣减退或不同的偏好，旁人未必能够立即判明。开放性不授权研究者或教师把任何反应浪漫化为明确的自主选择。较为适当的做法，是通过不同情境中的观察、适当的沟通支持和多方解释，减少单一判断的封闭程度；在仍不确定时，应承认尚不确定。学生不必先成为善于辩论的人，其处境才值得重新考虑。</w:t>
      </w:r>
    </w:p>
    <w:p>
      <w:pPr/>
      <w:r>
        <w:t>两组实验分别拒绝了两种替代判断：不能用已经取得的进步代替对权威范围的审视，也不能用长期存在的依赖代替对主体地位的否认。进步、支持和开放性可以相互促进，却不能彼此充当证明。由此，师生关系的教育价值不只表现在共同完成了什么，还表现在当学生的实际处境超出原有理解时，这种关系能否调整原有理解所支配的安排。</w:t>
      </w:r>
    </w:p>
    <w:p>
      <w:pPr>
        <w:pStyle w:val="Heading1"/>
      </w:pPr>
      <w:r>
        <w:t>六、开放性的边界与学校的责任</w:t>
      </w:r>
    </w:p>
    <w:p>
      <w:pPr/>
      <w:r>
        <w:t>成长判断必须保持开放，是否会削弱教师的专业权威？这一疑问揭示了本文需要守住的边界。教师并非因为学生赞同才有责任授课，也不能把安全、知识质量和全班学生的学习利益交给个别学生的即时愿望。刘素玲、程亮对阿伦特教育思想的研究，强调教育者在保护儿童与承担世界责任之间的双重任务，同时讨论了教师权威与学生道德平等之间的紧张</w:t>
      </w:r>
      <w:hyperlink w:anchor="ref_15">
        <w:r>
          <w:rPr>
            <w:vertAlign w:val="superscript"/>
            <w:rFonts w:ascii="Times New Roman" w:hAnsi="Times New Roman"/>
            <w:sz w:val="20"/>
          </w:rPr>
          <w:t>[15]</w:t>
        </w:r>
      </w:hyperlink>
      <w:r>
        <w:t>。开放性应当置于这种责任关系中理解，而不能被用来卸除成人的教育责任。</w:t>
      </w:r>
    </w:p>
    <w:p>
      <w:pPr/>
      <w:r>
        <w:t>在高风险活动中，教师可以先停止操作，随后再解释和复核。即时服从与事后可争议并不矛盾。学生有资格询问为什么被限制，并不等于他有权要求在疑问尚未解决时继续制造危险。这里尤其应当区分，拒绝一项不安全的行动与拒绝一个人提出相关疑问的资格。前者可能是职责所在，后者则需要另外的理由，不能被前者顺带证明。</w:t>
      </w:r>
    </w:p>
    <w:p>
      <w:pPr/>
      <w:r>
        <w:t>同样，异议资格不赋予学生对事实的最后决定权。学生反对一道题的评分，教师可以通过推理说明评分为何成立。复核可以以原决定得到维持而结束，只要结论回应了相关理由，并且在新的重要材料出现时仍有适当修正的可能。要求判断接受理由约束，并不等于要求教学持续处于争执之中。信任、接受正确讲解和反复练习，都可以是主体活动的正常形式；把频繁反对教师当作主体性的唯一表征，同样会预先规定学生应当成为怎样的人。</w:t>
      </w:r>
    </w:p>
    <w:p>
      <w:pPr/>
      <w:r>
        <w:t>一个更强的反对意见是：如果教师十分明智，过去的判断也始终正确，是否仍然需要保留复核路径？过去正确并不意味着今后不可能误判，因而不能仅凭良好记录取消纠正机制。对于某次局部决定，没有实际启动复核并不构成缺陷；学生没有提出疑问，也不证明关系封闭。如果反对意见进一步设定教师在一切相关判断上绝不可能出错，那么它已改变了本文关于教育者可错性的前提，不能直接作为现实教育制度的依据。本文要求的是在可错条件下保留可行路径，而非强迫所有学生对所有决定提出申请。</w:t>
      </w:r>
    </w:p>
    <w:p>
      <w:pPr/>
      <w:r>
        <w:t>由此还要防止把复核制度变成新的负担。若每一个日常教学决定都须正式听证，教学将无法进行。学校可以根据后果的严重程度和持续时间采用不同方式：短暂的课堂调整可通过及时说明处理，影响一个学期的分组需要更明确的观察与调整依据，持续影响升学方向的判断则需要更充分的证据和复核安排。重要的不是程序数量，而是某种安排造成的后果能否得到与之相称的说明和纠正。</w:t>
      </w:r>
    </w:p>
    <w:p>
      <w:pPr/>
      <w:r>
        <w:t>复核也不能仅靠学生及家庭自行争取。表达能力强、熟悉学校规则或拥有更多时间资源的家庭，更容易提交完整的请求。如果制度只回应最有能力表达的人，开放性的名义就可能掩盖机会差异。因此，对于持续限制学习机会的安排，学校需要主动检查其根据，而不应只等待当事人证明安排错误。允许协助表达、使用多种展示方式，以及在适当时点重新观察，目的都在于使纠正不完全依赖个体的争取能力。沉默既不是同意的可靠证明，也不是无能力的充分证据。</w:t>
      </w:r>
    </w:p>
    <w:p>
      <w:pPr/>
      <w:r>
        <w:t>有人可能进一步追问：由另一位教师或委员会复核，不是把判断垄断转移到更高一级吗？这一反对成立于某些情形。增加一个签字人并不等于增加实质的开放性。复核者至少需要能够接触相关材料，考察表现产生的条件，并有权限改变受到质疑的后果。如果他只能确认原决定是否符合原规则，却不能讨论规则与能力之间的关联，复核就可能重复同一个问题。本文并不因此要求无限上诉或一个永不出错的终审者，而是要求纠正路径不能在可避免的程度上被同一套争议前提完全封闭。</w:t>
      </w:r>
    </w:p>
    <w:p>
      <w:pPr/>
      <w:r>
        <w:t>学校资源构成另一项真实限制。并非所有不同的展示方式都能立即提供，也并非每一次机会调整都能由一位教师完成。有限资源可以构成暂时限制的理由，但应当以资源限制本身被说明。如果学校缺乏相关师资，却把未能提供活动解释为学生不适合活动，就会把机构能力的不足转化为学生能力的缺陷。开放性的要求在这里首先是准确归责：哪些问题需要学生练习，哪些问题需要教学安排调整，哪些问题需要学校承担，不能混为一谈。</w:t>
      </w:r>
    </w:p>
    <w:p>
      <w:pPr/>
      <w:r>
        <w:t>还存在更难处理的情形：过去的机会剥夺已经造成今天真实的能力不足。一个长期未获得适当写作训练的学生，可能确实不能独立完成复杂写作。揭示这一不足的形成条件，并不能立即消除它，也不能推出应当取消全部当前限制。但机构不能以当前诊断正确为由，免除自己改变训练条件的责任。这里必须分别论证两件事：眼前的限制是否与实际能力和任务要求相称，后续的安排是否承担了补救既有不足的责任。前者成立，不足以证明后者可以维持原状。检查机会条件，也不意味着任何不利结果都必由学校造成；因果归属需要另外的材料，不能从学生暂时表现不佳直接推出。</w:t>
      </w:r>
    </w:p>
    <w:p>
      <w:pPr/>
      <w:r>
        <w:t>自动化评价使上述区分具有新的应用场景。可以设想一个平台根据早期错误推送较简单的材料，随后只从这些材料收集表现，再将缺乏高阶表现记录为学生缺乏高阶能力的根据。当学生申请其他任务时，系统又依据原分类将其送回补救练习。这个设定并不指称任何已有产品，也不证明此类机制实际有多普遍；它显示的是，数据记录准确与机会分配正当仍是两个问题。系统可以正确记录已经发生的表现，却无法仅凭这些记录证明被排除的可能性都不值得尝试。</w:t>
      </w:r>
    </w:p>
    <w:p>
      <w:pPr/>
      <w:r>
        <w:t>因此，在自动建议之后设置一名教师，并不自动满足开放性要求。这名教师是否有时间、材料和权限改变分类后果，才是实质问题。反之，一项工具若能帮助教师发现评价中的不一致、保留学生未获机会的记录或引入不同表现材料，也可能有助于纠正。教育判断的责任并不沿着“人或机器”的边界自然分配，而需要落实到整个安排中：谁说明限制，谁能够改变限制，谁负责检查没有被记录的学习机会。讨论技术时代的主体地位，不能停留在人是否仍然在场。</w:t>
      </w:r>
    </w:p>
    <w:p>
      <w:pPr>
        <w:pStyle w:val="Heading1"/>
      </w:pPr>
      <w:r>
        <w:t>七、结语</w:t>
      </w:r>
    </w:p>
    <w:p>
      <w:pPr/>
      <w:r>
        <w:t>教育需要对成长作出判断，却不能把自己的判断等同于成长的全部可能。师生关系的改善使学生能够被倾听、被理解和得到支持；进一步的问题是，这些经验能否改变决定学生位置的解释。只有在这一层面，学生才不仅是教育所要成就的人，也是能够参与重新理解教育如何作用于自己的人。</w:t>
      </w:r>
    </w:p>
    <w:p>
      <w:pPr/>
      <w:r>
        <w:t>本文区分任务胜任、获得协助、行动决定与异议资格，指出对当下能力的正确判断并不自动支持全部控制后果，更不应单独决定学生是否有资格要求纠正。成长判断的开放性要求教育保留诊断复核、机会调整和权限修正的可行路径。它既反对用尚未成熟来无限推迟学生的主体地位，也反对以自主之名撤去必要帮助；既要求教师回答理由，也承认其专业责任和必要限制。</w:t>
      </w:r>
    </w:p>
    <w:p>
      <w:pPr/>
      <w:r>
        <w:t>这一要求没有穷尽教育的价值。开放的关系仍可能面对贫乏的课程、不公的资源和难以调和的目标冲突。它所确立的是一条更具体的界限：教育可以帮助学生获得尚未拥有的能力，却不能要求学生先拥有这些能力，才承认他有资格参与讨论自己如何被教育。成长不只是逐步成为能够作出判断的人，也包括在仍然需要帮助时，不被他人关于自己的判断永久定型。</w:t>
      </w:r>
    </w:p>
    <w:p>
      <w:pPr>
        <w:pStyle w:val="Heading1"/>
        <w:pageBreakBefore/>
      </w:pPr>
      <w:r>
        <w:t>参考文献</w:t>
      </w:r>
    </w:p>
    <w:p>
      <w:pPr>
        <w:pStyle w:val="Reference"/>
        <w:numPr>
          <w:ilvl w:val="0"/>
          <w:numId w:val="10"/>
        </w:numPr>
      </w:pPr>
      <w:bookmarkStart w:id="1" w:name="ref_1"/>
      <w:hyperlink r:id="rId11">
        <w:r>
          <w:rPr>
            <w:rFonts w:ascii="Times New Roman" w:hAnsi="Times New Roman" w:eastAsia="Noto Sans CJK SC"/>
            <w:sz w:val="21"/>
            <w:color w:val="000000"/>
          </w:rPr>
          <w:t>张祥云, 许若林. 走向跨主体性：教育中心说的重构[J]. 大学教育科学, 2026(5): 13-23.</w:t>
        </w:r>
      </w:hyperlink>
      <w:bookmarkEnd w:id="1"/>
    </w:p>
    <w:p>
      <w:pPr>
        <w:pStyle w:val="Reference"/>
        <w:numPr>
          <w:ilvl w:val="0"/>
          <w:numId w:val="10"/>
        </w:numPr>
      </w:pPr>
      <w:bookmarkStart w:id="2" w:name="ref_2"/>
      <w:hyperlink r:id="rId12">
        <w:r>
          <w:rPr>
            <w:rFonts w:ascii="Times New Roman" w:hAnsi="Times New Roman" w:eastAsia="Noto Sans CJK SC"/>
            <w:sz w:val="21"/>
            <w:color w:val="000000"/>
          </w:rPr>
          <w:t>冯建军. 主体教育理论：从主体性到主体间性[J]. 华中师范大学学报（人文社会科学版）, 2006, 45(1): 115-121.</w:t>
        </w:r>
      </w:hyperlink>
      <w:bookmarkEnd w:id="2"/>
    </w:p>
    <w:p>
      <w:pPr>
        <w:pStyle w:val="Reference"/>
        <w:numPr>
          <w:ilvl w:val="0"/>
          <w:numId w:val="10"/>
        </w:numPr>
      </w:pPr>
      <w:bookmarkStart w:id="3" w:name="ref_3"/>
      <w:hyperlink r:id="rId13">
        <w:r>
          <w:rPr>
            <w:rFonts w:ascii="Times New Roman" w:hAnsi="Times New Roman" w:eastAsia="Noto Sans CJK SC"/>
            <w:sz w:val="21"/>
            <w:color w:val="000000"/>
          </w:rPr>
          <w:t>陈雪强, 靳玉乐, 徐学福. 学习主体“自我向度”的失落与回归[J]. 教育科学, 2021, 37(3): 32-38.</w:t>
        </w:r>
      </w:hyperlink>
      <w:bookmarkEnd w:id="3"/>
    </w:p>
    <w:p>
      <w:pPr>
        <w:pStyle w:val="Reference"/>
        <w:numPr>
          <w:ilvl w:val="0"/>
          <w:numId w:val="10"/>
        </w:numPr>
      </w:pPr>
      <w:bookmarkStart w:id="4" w:name="ref_4"/>
      <w:hyperlink r:id="rId14">
        <w:r>
          <w:rPr>
            <w:rFonts w:ascii="Times New Roman" w:hAnsi="Times New Roman" w:eastAsia="Noto Sans CJK SC"/>
            <w:sz w:val="21"/>
            <w:color w:val="000000"/>
          </w:rPr>
          <w:t>陳延興. 為了誰的教育？學生作為教育主體之探討[J]. 教育資料與研究雙月刊, 2010(96): 71-94.</w:t>
        </w:r>
      </w:hyperlink>
      <w:bookmarkEnd w:id="4"/>
    </w:p>
    <w:p>
      <w:pPr>
        <w:pStyle w:val="Reference"/>
        <w:numPr>
          <w:ilvl w:val="0"/>
          <w:numId w:val="10"/>
        </w:numPr>
      </w:pPr>
      <w:bookmarkStart w:id="5" w:name="ref_5"/>
      <w:hyperlink r:id="rId15">
        <w:r>
          <w:rPr>
            <w:rFonts w:ascii="Times New Roman" w:hAnsi="Times New Roman" w:eastAsia="Noto Sans CJK SC"/>
            <w:sz w:val="21"/>
            <w:color w:val="000000"/>
          </w:rPr>
          <w:t>NODDINGS N. The caring relation in teaching[J]. Oxford Review of Education, 2012, 38(6): 771-781. DOI: 10.1080/03054985.2012.745047.</w:t>
        </w:r>
      </w:hyperlink>
      <w:bookmarkEnd w:id="5"/>
    </w:p>
    <w:p>
      <w:pPr>
        <w:pStyle w:val="Reference"/>
        <w:numPr>
          <w:ilvl w:val="0"/>
          <w:numId w:val="10"/>
        </w:numPr>
      </w:pPr>
      <w:bookmarkStart w:id="6" w:name="ref_6"/>
      <w:hyperlink r:id="rId16">
        <w:r>
          <w:rPr>
            <w:rFonts w:ascii="Times New Roman" w:hAnsi="Times New Roman" w:eastAsia="Noto Sans CJK SC"/>
            <w:sz w:val="21"/>
            <w:color w:val="000000"/>
          </w:rPr>
          <w:t>FREIRE P. Pedagogy of the oppressed[M]. 30th anniversary ed. RAMOS M B, trans. New York: Continuum, 2000: 71-86.</w:t>
        </w:r>
      </w:hyperlink>
      <w:bookmarkEnd w:id="6"/>
    </w:p>
    <w:p>
      <w:pPr>
        <w:pStyle w:val="Reference"/>
        <w:numPr>
          <w:ilvl w:val="0"/>
          <w:numId w:val="10"/>
        </w:numPr>
      </w:pPr>
      <w:bookmarkStart w:id="7" w:name="ref_7"/>
      <w:hyperlink r:id="rId17">
        <w:r>
          <w:rPr>
            <w:rFonts w:ascii="Times New Roman" w:hAnsi="Times New Roman" w:eastAsia="Noto Sans CJK SC"/>
            <w:sz w:val="21"/>
            <w:color w:val="000000"/>
          </w:rPr>
          <w:t>DEWEY J. Democracy and education: An introduction to the philosophy of education[M/OL]. New York: Macmillan, 1916. Chapter 4: Education as growth[2026-09-07].</w:t>
        </w:r>
      </w:hyperlink>
      <w:bookmarkEnd w:id="7"/>
    </w:p>
    <w:p>
      <w:pPr>
        <w:pStyle w:val="Reference"/>
        <w:numPr>
          <w:ilvl w:val="0"/>
          <w:numId w:val="10"/>
        </w:numPr>
      </w:pPr>
      <w:bookmarkStart w:id="8" w:name="ref_8"/>
      <w:hyperlink r:id="rId18">
        <w:r>
          <w:rPr>
            <w:rFonts w:ascii="Times New Roman" w:hAnsi="Times New Roman" w:eastAsia="Noto Sans CJK SC"/>
            <w:sz w:val="21"/>
            <w:color w:val="000000"/>
          </w:rPr>
          <w:t>WOOD D, BRUNER J S, ROSS G. The role of tutoring in problem solving[J]. Journal of Child Psychology and Psychiatry, 1976, 17(2): 89-100. DOI: 10.1111/j.1469-7610.1976.tb00381.x.</w:t>
        </w:r>
      </w:hyperlink>
      <w:bookmarkEnd w:id="8"/>
    </w:p>
    <w:p>
      <w:pPr>
        <w:pStyle w:val="Reference"/>
        <w:numPr>
          <w:ilvl w:val="0"/>
          <w:numId w:val="10"/>
        </w:numPr>
      </w:pPr>
      <w:bookmarkStart w:id="9" w:name="ref_9"/>
      <w:hyperlink r:id="rId19">
        <w:r>
          <w:rPr>
            <w:rFonts w:ascii="Times New Roman" w:hAnsi="Times New Roman" w:eastAsia="Noto Sans CJK SC"/>
            <w:sz w:val="21"/>
            <w:color w:val="000000"/>
          </w:rPr>
          <w:t>TAYLOR A. The paradox of epistemic ability profiling[J]. Journal of Philosophy of Education, 2023, 57(4-5): 880-900. DOI: 10.1093/jopedu/qhad066.</w:t>
        </w:r>
      </w:hyperlink>
      <w:bookmarkEnd w:id="9"/>
    </w:p>
    <w:p>
      <w:pPr>
        <w:pStyle w:val="Reference"/>
        <w:numPr>
          <w:ilvl w:val="0"/>
          <w:numId w:val="10"/>
        </w:numPr>
      </w:pPr>
      <w:bookmarkStart w:id="10" w:name="ref_10"/>
      <w:hyperlink r:id="rId20">
        <w:r>
          <w:rPr>
            <w:rFonts w:ascii="Times New Roman" w:hAnsi="Times New Roman" w:eastAsia="Noto Sans CJK SC"/>
            <w:sz w:val="21"/>
            <w:color w:val="000000"/>
          </w:rPr>
          <w:t>MCDONOUGH K, TAYLOR A. Moral status, epistemic agency, and the education of students labeled with intellectual disability[J]. Theory and Research in Education, 2025, 23(2): 105-125. DOI: 10.1177/14778785251340658.</w:t>
        </w:r>
      </w:hyperlink>
      <w:bookmarkEnd w:id="10"/>
    </w:p>
    <w:p>
      <w:pPr>
        <w:pStyle w:val="Reference"/>
        <w:numPr>
          <w:ilvl w:val="0"/>
          <w:numId w:val="10"/>
        </w:numPr>
      </w:pPr>
      <w:bookmarkStart w:id="11" w:name="ref_11"/>
      <w:hyperlink r:id="rId21">
        <w:r>
          <w:rPr>
            <w:rFonts w:ascii="Times New Roman" w:hAnsi="Times New Roman" w:eastAsia="Noto Sans CJK SC"/>
            <w:sz w:val="21"/>
            <w:color w:val="000000"/>
          </w:rPr>
          <w:t>HARDWIG J. Epistemic dependence[J]. The Journal of Philosophy, 1985, 82(7): 335-349. DOI: 10.2307/2026523.</w:t>
        </w:r>
      </w:hyperlink>
      <w:bookmarkEnd w:id="11"/>
    </w:p>
    <w:p>
      <w:pPr>
        <w:pStyle w:val="Reference"/>
        <w:numPr>
          <w:ilvl w:val="0"/>
          <w:numId w:val="10"/>
        </w:numPr>
      </w:pPr>
      <w:bookmarkStart w:id="12" w:name="ref_12"/>
      <w:hyperlink r:id="rId22">
        <w:r>
          <w:rPr>
            <w:rFonts w:ascii="Times New Roman" w:hAnsi="Times New Roman" w:eastAsia="Noto Sans CJK SC"/>
            <w:sz w:val="21"/>
            <w:color w:val="000000"/>
          </w:rPr>
          <w:t>BIESTA G. A new ‘logic’ of emancipation: The methodology of Jacques Rancière[J]. Educational Theory, 2010, 60(1): 39-59. DOI: 10.1111/j.1741-5446.2009.00345.x.</w:t>
        </w:r>
      </w:hyperlink>
      <w:bookmarkEnd w:id="12"/>
    </w:p>
    <w:p>
      <w:pPr>
        <w:pStyle w:val="Reference"/>
        <w:numPr>
          <w:ilvl w:val="0"/>
          <w:numId w:val="10"/>
        </w:numPr>
      </w:pPr>
      <w:bookmarkStart w:id="13" w:name="ref_13"/>
      <w:hyperlink r:id="rId23">
        <w:r>
          <w:rPr>
            <w:rFonts w:ascii="Times New Roman" w:hAnsi="Times New Roman" w:eastAsia="Noto Sans CJK SC"/>
            <w:sz w:val="21"/>
            <w:color w:val="000000"/>
          </w:rPr>
          <w:t>PETTIT P. Republican freedom and contestatory democratization[C]//SHAPIRO I, HACKER-CORDÓN C. Democracy’s value. Cambridge: Cambridge University Press, 1999: 163-190.</w:t>
        </w:r>
      </w:hyperlink>
      <w:bookmarkEnd w:id="13"/>
    </w:p>
    <w:p>
      <w:pPr>
        <w:pStyle w:val="Reference"/>
        <w:numPr>
          <w:ilvl w:val="0"/>
          <w:numId w:val="10"/>
        </w:numPr>
      </w:pPr>
      <w:bookmarkStart w:id="14" w:name="ref_14"/>
      <w:hyperlink r:id="rId24">
        <w:r>
          <w:rPr>
            <w:rFonts w:ascii="Times New Roman" w:hAnsi="Times New Roman" w:eastAsia="Noto Sans CJK SC"/>
            <w:sz w:val="21"/>
            <w:color w:val="000000"/>
          </w:rPr>
          <w:t>LUNDY L. ‘Voice’ is not enough: Conceptualising Article 12 of the United Nations Convention on the Rights of the Child[J]. British Educational Research Journal, 2007, 33(6): 927-942. DOI: 10.1080/01411920701657033.</w:t>
        </w:r>
      </w:hyperlink>
      <w:bookmarkEnd w:id="14"/>
    </w:p>
    <w:p>
      <w:pPr>
        <w:pStyle w:val="Reference"/>
        <w:numPr>
          <w:ilvl w:val="0"/>
          <w:numId w:val="10"/>
        </w:numPr>
      </w:pPr>
      <w:bookmarkStart w:id="15" w:name="ref_15"/>
      <w:hyperlink r:id="rId25">
        <w:r>
          <w:rPr>
            <w:rFonts w:ascii="Times New Roman" w:hAnsi="Times New Roman" w:eastAsia="Noto Sans CJK SC"/>
            <w:sz w:val="21"/>
            <w:color w:val="000000"/>
          </w:rPr>
          <w:t>刘素玲, 程亮. 教育的本质即诞生性——阿伦特的教育观及其反思[J]. 南京社会科学, 2018(4): 151-156. DOI: 10.15937/j.cnki.issn1001-8263.2018.04.020.</w:t>
        </w:r>
      </w:hyperlink>
      <w:bookmarkEnd w:id="15"/>
    </w:p>
    <w:p>
      <w:pPr>
        <w:pStyle w:val="EnglishTitle"/>
        <w:keepNext/>
        <w:pageBreakBefore/>
      </w:pPr>
      <w:r>
        <w:t>Keeping Growth Open</w:t>
      </w:r>
    </w:p>
    <w:p>
      <w:pPr>
        <w:pStyle w:val="EnglishSubtitle"/>
        <w:keepNext/>
      </w:pPr>
      <w:r>
        <w:t>The Limits of Educational Authority and Students’ Standing to Contest</w:t>
      </w:r>
    </w:p>
    <w:p>
      <w:pPr>
        <w:pStyle w:val="EnglishAbstract"/>
      </w:pPr>
      <w:r>
        <w:rPr>
          <w:b/>
        </w:rPr>
        <w:t xml:space="preserve">Abstract: </w:t>
      </w:r>
      <w:r>
        <w:t>Relational approaches place mutual responsiveness at the center of education, but the formation of a relationship does not by itself justify educational authority. Educators assess learners’ capacities while also shaping the opportunities through which those capacities develop and become visible. A judgment can become self-insulating when these arrangements restrict relevant counterevidence and the learner must first satisfy the disputed judgment to obtain standing to challenge it. Through conceptual analysis and contrasting thought experiments, this article distinguishes task competence, instructional support, decision authority, and standing to contest. It argues that developmentally justified restrictions must retain feasible and proportionate routes for revising diagnoses, the opportunities on which diagnoses depend, and the scope of control grounded in them. Access to these routes cannot depend on first passing the assessment under dispute. This requirement permits expertise, safety restrictions, and sustained assistance. It also explains why accurate assessments may support excessive control and why educational progress does not eliminate the need for revisability. The argument develops a condition for educational authority rather than a complete account of good education: learners should be able, with appropriate support, to participate in reconsidering the terms on which their development is judged.</w:t>
      </w:r>
    </w:p>
    <w:p>
      <w:pPr>
        <w:pStyle w:val="EnglishAbstract"/>
      </w:pPr>
      <w:r>
        <w:rPr>
          <w:b/>
        </w:rPr>
        <w:t xml:space="preserve">Keywords: </w:t>
      </w:r>
      <w:r>
        <w:t>educational authority; student standing; developmental judgment; teacher–student relationships; contestability</w:t>
      </w:r>
    </w:p>
    <w:sectPr w:rsidR="00FC693F" w:rsidRPr="0006063C" w:rsidSect="00034616">
      <w:headerReference w:type="default" r:id="rId9"/>
      <w:footerReference w:type="default" r:id="rId1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66666"/>
      </w:rPr>
      <w:t>成长何以保持开放：教育权威的限度与学生的异议资格</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decimal"/>
      <w:lvlText w:val="[%1]"/>
      <w:lvlJc w:val="left"/>
      <w:pPr>
        <w:ind w:left="420" w:hanging="420"/>
        <w:tabs>
          <w:tab w:val="num" w:pos="420"/>
        </w:tabs>
      </w:p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420" w:lineRule="exact"/>
      <w:ind w:firstLine="480" w:left="0" w:right="0"/>
      <w:jc w:val="both"/>
    </w:pPr>
    <w:rPr>
      <w:rFonts w:ascii="Times New Roman" w:hAnsi="Times New Roman" w:eastAsia="Noto Sans CJK SC"/>
      <w:b w:val="0"/>
      <w:i w:val="0"/>
      <w:color w:val="000000"/>
      <w:sz w:val="24"/>
    </w:rPr>
  </w:style>
  <w:style w:type="paragraph" w:styleId="Header">
    <w:name w:val="header"/>
    <w:basedOn w:val="Normal"/>
    <w:link w:val="HeaderChar"/>
    <w:uiPriority w:val="99"/>
    <w:unhideWhenUsed/>
    <w:rsid w:val="00E618BF"/>
    <w:pPr>
      <w:widowControl/>
      <w:tabs>
        <w:tab w:val="center" w:pos="4680"/>
        <w:tab w:val="right" w:pos="9360"/>
      </w:tabs>
      <w:spacing w:after="0" w:line="240" w:lineRule="exact" w:before="0"/>
      <w:ind w:firstLine="0" w:left="0" w:right="0"/>
      <w:jc w:val="center"/>
    </w:pPr>
    <w:rPr>
      <w:rFonts w:ascii="Times New Roman" w:hAnsi="Times New Roman" w:eastAsia="Noto Sans CJK SC"/>
      <w:b w:val="0"/>
      <w:i w:val="0"/>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exact" w:before="0"/>
      <w:ind w:firstLine="0" w:left="0" w:right="0"/>
      <w:jc w:val="center"/>
    </w:pPr>
    <w:rPr>
      <w:rFonts w:ascii="Times New Roman" w:hAnsi="Times New Roman" w:eastAsia="Noto Sans CJK SC"/>
      <w:b w:val="0"/>
      <w:i w:val="0"/>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80" w:line="460" w:lineRule="exact"/>
      <w:ind w:firstLine="0" w:left="0" w:right="0"/>
      <w:jc w:val="both"/>
      <w:outlineLvl w:val="0"/>
    </w:pPr>
    <w:rPr>
      <w:rFonts w:ascii="Times New Roman" w:hAnsi="Times New Roman" w:eastAsia="Noto Sans CJK SC"/>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400" w:lineRule="exact"/>
      <w:ind w:firstLine="0" w:left="0" w:right="0"/>
      <w:jc w:val="both"/>
      <w:outlineLvl w:val="1"/>
    </w:pPr>
    <w:rPr>
      <w:rFonts w:ascii="Times New Roman" w:hAnsi="Times New Roman" w:eastAsia="Noto Sans CJK SC"/>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160" w:after="80" w:line="400" w:lineRule="exact"/>
      <w:ind w:firstLine="0" w:left="0" w:right="0"/>
      <w:jc w:val="both"/>
      <w:outlineLvl w:val="2"/>
    </w:pPr>
    <w:rPr>
      <w:rFonts w:ascii="Times New Roman" w:hAnsi="Times New Roman" w:eastAsia="Noto Sans CJK SC"/>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60" w:line="600" w:lineRule="exact" w:before="0"/>
      <w:ind w:firstLine="0" w:left="0" w:right="0"/>
      <w:contextualSpacing/>
      <w:jc w:val="center"/>
    </w:pPr>
    <w:rPr>
      <w:rFonts w:ascii="Times New Roman" w:hAnsi="Times New Roman" w:eastAsia="Noto Sans CJK SC"/>
      <w:b/>
      <w:i w:val="0"/>
      <w:color w:val="000000"/>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360" w:line="460" w:lineRule="exact"/>
      <w:ind w:firstLine="0" w:left="0" w:right="0"/>
      <w:jc w:val="center"/>
    </w:pPr>
    <w:rPr>
      <w:rFonts w:ascii="Times New Roman" w:hAnsi="Times New Roman" w:eastAsia="Noto Sans CJK SC"/>
      <w:b w:val="0"/>
      <w:i w:val="0"/>
      <w:iCs/>
      <w:color w:val="000000"/>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Text">
    <w:name w:val="Abstract Text"/>
    <w:pPr>
      <w:widowControl/>
      <w:spacing w:before="0" w:after="160" w:line="360" w:lineRule="exact"/>
      <w:ind w:firstLine="0" w:left="0" w:right="0"/>
      <w:jc w:val="both"/>
    </w:pPr>
    <w:rPr>
      <w:rFonts w:ascii="Times New Roman" w:hAnsi="Times New Roman" w:eastAsia="Noto Sans CJK SC"/>
      <w:b w:val="0"/>
      <w:i w:val="0"/>
      <w:color w:val="000000"/>
      <w:sz w:val="21"/>
    </w:rPr>
  </w:style>
  <w:style w:type="paragraph" w:customStyle="1" w:styleId="Keywords">
    <w:name w:val="Keywords"/>
    <w:pPr>
      <w:widowControl/>
      <w:spacing w:before="0" w:after="160" w:line="360" w:lineRule="exact"/>
      <w:ind w:firstLine="0" w:left="0" w:right="0"/>
      <w:jc w:val="both"/>
    </w:pPr>
    <w:rPr>
      <w:rFonts w:ascii="Times New Roman" w:hAnsi="Times New Roman" w:eastAsia="Noto Sans CJK SC"/>
      <w:b w:val="0"/>
      <w:i w:val="0"/>
      <w:color w:val="000000"/>
      <w:sz w:val="21"/>
    </w:rPr>
  </w:style>
  <w:style w:type="paragraph" w:customStyle="1" w:styleId="Reference">
    <w:name w:val="Reference"/>
    <w:pPr>
      <w:keepLines/>
      <w:widowControl/>
      <w:spacing w:before="0" w:after="100" w:line="320" w:lineRule="exact"/>
      <w:ind w:hanging="420" w:left="420" w:right="0"/>
      <w:jc w:val="left"/>
    </w:pPr>
    <w:rPr>
      <w:rFonts w:ascii="Times New Roman" w:hAnsi="Times New Roman" w:eastAsia="Noto Sans CJK SC"/>
      <w:b w:val="0"/>
      <w:i w:val="0"/>
      <w:color w:val="000000"/>
      <w:sz w:val="21"/>
    </w:rPr>
  </w:style>
  <w:style w:type="paragraph" w:customStyle="1" w:styleId="EnglishTitle">
    <w:name w:val="English Title"/>
    <w:pPr>
      <w:widowControl/>
      <w:spacing w:before="0" w:after="120" w:line="420" w:lineRule="exact"/>
      <w:ind w:firstLine="0" w:left="0" w:right="0"/>
      <w:jc w:val="center"/>
    </w:pPr>
    <w:rPr>
      <w:rFonts w:ascii="Times New Roman" w:hAnsi="Times New Roman" w:eastAsia="Noto Sans CJK SC"/>
      <w:b/>
      <w:i w:val="0"/>
      <w:color w:val="000000"/>
      <w:sz w:val="30"/>
    </w:rPr>
  </w:style>
  <w:style w:type="paragraph" w:customStyle="1" w:styleId="EnglishSubtitle">
    <w:name w:val="English Subtitle"/>
    <w:pPr>
      <w:widowControl/>
      <w:spacing w:before="0" w:after="360" w:line="360" w:lineRule="exact"/>
      <w:ind w:firstLine="0" w:left="0" w:right="0"/>
      <w:jc w:val="center"/>
    </w:pPr>
    <w:rPr>
      <w:rFonts w:ascii="Times New Roman" w:hAnsi="Times New Roman" w:eastAsia="Noto Sans CJK SC"/>
      <w:b w:val="0"/>
      <w:i w:val="0"/>
      <w:color w:val="000000"/>
      <w:sz w:val="24"/>
    </w:rPr>
  </w:style>
  <w:style w:type="paragraph" w:customStyle="1" w:styleId="EnglishAbstract">
    <w:name w:val="English Abstract"/>
    <w:pPr>
      <w:widowControl/>
      <w:spacing w:before="0" w:after="240" w:line="340" w:lineRule="exact"/>
      <w:ind w:firstLine="0" w:left="0" w:right="0"/>
      <w:jc w:val="both"/>
    </w:pPr>
    <w:rPr>
      <w:rFonts w:ascii="Times New Roman" w:hAnsi="Times New Roman" w:eastAsia="Noto Sans CJK SC"/>
      <w:b w:val="0"/>
      <w:i w:val="0"/>
      <w:color w:val="00000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3969/j.issn.1672-0717.2026.05.02" TargetMode="External"/><Relationship Id="rId12" Type="http://schemas.openxmlformats.org/officeDocument/2006/relationships/hyperlink" Target="https://journal.ccnu.edu.cn/sk/CN/abstract/abstract4004.shtml" TargetMode="External"/><Relationship Id="rId13" Type="http://schemas.openxmlformats.org/officeDocument/2006/relationships/hyperlink" Target="https://jykx.lnnu.edu.cn/CN/Y2021/V37/I3/32" TargetMode="External"/><Relationship Id="rId14" Type="http://schemas.openxmlformats.org/officeDocument/2006/relationships/hyperlink" Target="https://teric.naer.edu.tw/wSite/PDFReader?fileName=1400768504154&amp;format=pdf&amp;xmlId=1747557" TargetMode="External"/><Relationship Id="rId15" Type="http://schemas.openxmlformats.org/officeDocument/2006/relationships/hyperlink" Target="https://doi.org/10.1080/03054985.2012.745047" TargetMode="External"/><Relationship Id="rId16" Type="http://schemas.openxmlformats.org/officeDocument/2006/relationships/hyperlink" Target="https://fsi-ebcao.princeton.edu/document/349" TargetMode="External"/><Relationship Id="rId17" Type="http://schemas.openxmlformats.org/officeDocument/2006/relationships/hyperlink" Target="https://www.gutenberg.org/files/852/852-h/852-h.htm" TargetMode="External"/><Relationship Id="rId18" Type="http://schemas.openxmlformats.org/officeDocument/2006/relationships/hyperlink" Target="https://doi.org/10.1111/j.1469-7610.1976.tb00381.x" TargetMode="External"/><Relationship Id="rId19" Type="http://schemas.openxmlformats.org/officeDocument/2006/relationships/hyperlink" Target="https://doi.org/10.1093/jopedu/qhad066" TargetMode="External"/><Relationship Id="rId20" Type="http://schemas.openxmlformats.org/officeDocument/2006/relationships/hyperlink" Target="https://doi.org/10.1177/14778785251340658" TargetMode="External"/><Relationship Id="rId21" Type="http://schemas.openxmlformats.org/officeDocument/2006/relationships/hyperlink" Target="https://doi.org/10.2307/2026523" TargetMode="External"/><Relationship Id="rId22" Type="http://schemas.openxmlformats.org/officeDocument/2006/relationships/hyperlink" Target="https://doi.org/10.1111/j.1741-5446.2009.00345.x" TargetMode="External"/><Relationship Id="rId23" Type="http://schemas.openxmlformats.org/officeDocument/2006/relationships/hyperlink" Target="https://ppettit.scholar.princeton.edu/publications/republican-freedom-and-contestatory-democratization" TargetMode="External"/><Relationship Id="rId24" Type="http://schemas.openxmlformats.org/officeDocument/2006/relationships/hyperlink" Target="https://doi.org/10.1080/01411920701657033" TargetMode="External"/><Relationship Id="rId25" Type="http://schemas.openxmlformats.org/officeDocument/2006/relationships/hyperlink" Target="https://ass.nanjing.gov.cn/skkw/njshkx/201804/t20180423_19465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成长何以保持开放——教育权威的限度与学生的异议资格</dc:title>
  <dc:subject>教育哲学理论论文</dc:subject>
  <dc:creator/>
  <cp:keywords>教育权威；学生主体地位；成长判断；师生关系；异议资格</cp:keywords>
  <dc:description>generated by python-docx</dc:description>
  <cp:lastModifiedBy/>
  <cp:revision>1</cp:revision>
  <dcterms:created xsi:type="dcterms:W3CDTF">2013-12-23T23:15:00Z</dcterms:created>
  <dcterms:modified xsi:type="dcterms:W3CDTF">2013-12-23T23:15:00Z</dcterms:modified>
  <cp:category/>
</cp:coreProperties>
</file>