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80" w:line="288" w:lineRule="auto"/>
      </w:pPr>
      <w:r>
        <w:rPr>
          <w:rFonts w:ascii="Calibri" w:hAnsi="Calibri" w:eastAsia="SimSun"/>
          <w:b/>
          <w:color w:val="1F4E79"/>
          <w:sz w:val="19"/>
        </w:rPr>
        <w:t>附件二｜理论论文</w:t>
      </w:r>
    </w:p>
    <w:p>
      <w:pPr>
        <w:spacing w:before="0" w:after="40" w:line="288" w:lineRule="auto"/>
        <w:jc w:val="center"/>
      </w:pPr>
      <w:r>
        <w:rPr>
          <w:rFonts w:ascii="Calibri" w:hAnsi="Calibri" w:eastAsia="SimSun"/>
          <w:b/>
          <w:color w:val="122D4D"/>
          <w:sz w:val="40"/>
        </w:rPr>
        <w:t>社会科学为何结构性不完满</w:t>
      </w:r>
    </w:p>
    <w:p>
      <w:pPr>
        <w:spacing w:before="0" w:after="160" w:line="288" w:lineRule="auto"/>
        <w:jc w:val="center"/>
      </w:pPr>
      <w:r>
        <w:rPr>
          <w:rFonts w:ascii="Calibri" w:hAnsi="Calibri" w:eastAsia="SimSun"/>
          <w:b w:val="0"/>
          <w:color w:val="5A626C"/>
          <w:sz w:val="26"/>
        </w:rPr>
        <w:t>——SDA视野下的知识边界、竞争解释与动态重验证</w:t>
      </w:r>
    </w:p>
    <w:p>
      <w:pPr>
        <w:spacing w:before="0" w:after="280" w:line="288" w:lineRule="auto"/>
        <w:jc w:val="center"/>
      </w:pPr>
      <w:r>
        <w:rPr>
          <w:rFonts w:ascii="Calibri" w:hAnsi="Calibri" w:eastAsia="SimSun"/>
          <w:b w:val="0"/>
          <w:sz w:val="22"/>
        </w:rPr>
        <w:t>文颜</w:t>
      </w:r>
    </w:p>
    <w:p>
      <w:pPr>
        <w:spacing w:before="0" w:after="80" w:line="288" w:lineRule="auto"/>
      </w:pPr>
      <w:r>
        <w:rPr>
          <w:rFonts w:ascii="Calibri" w:hAnsi="Calibri" w:eastAsia="SimSun"/>
          <w:b/>
          <w:color w:val="122D4D"/>
          <w:sz w:val="24"/>
        </w:rPr>
        <w:t>摘  要</w:t>
      </w:r>
    </w:p>
    <w:p>
      <w:pPr>
        <w:spacing w:before="0" w:after="100" w:line="288" w:lineRule="auto"/>
      </w:pPr>
      <w:r>
        <w:rPr>
          <w:rFonts w:ascii="Calibri" w:hAnsi="Calibri" w:eastAsia="SimSun"/>
          <w:b w:val="0"/>
          <w:sz w:val="21"/>
        </w:rPr>
        <w:t>本文提出“社会科学结构不完满”命题：社会科学理论不是对封闭对象的终极复制，而是在开放、动态、反身且证据不完全的现实中，由概念、材料、方法、尺度、时代与权力条件共同约束的有限结构投影。不完满不等于错误、相对主义或不可科学化；相反，它要求理论明确适用包络，保存未知与冲突，比较竞争解释，并在新证据、行为反馈与历史条件变化时动态重验证。本文以SDA（Structure–Dynamics–Algebra，结构—动力—代数）为方法框架，区分对象不完满、观测不完满、概念不完满、因果不完满、反身性不完满与价值不完满，提出研究状态、理论适用包络、竞争假设集、下一证据门及可恢复研究流程。该命题为AI进入人文社会科学提供一种不同于“生成更流畅文本”的基础：AI的任务不是消除不确定性，而是使知识边界、证据关系、替代解释和失败条件变得可见、可追踪、可修订。</w:t>
      </w:r>
    </w:p>
    <w:p>
      <w:pPr>
        <w:spacing w:before="0" w:after="200" w:line="288" w:lineRule="auto"/>
      </w:pPr>
      <w:r>
        <w:rPr>
          <w:rFonts w:ascii="Calibri" w:hAnsi="Calibri" w:eastAsia="SimSun"/>
          <w:b w:val="0"/>
          <w:color w:val="5A626C"/>
          <w:sz w:val="19"/>
        </w:rPr>
        <w:t>关键词：社会科学；结构不完满；SDA；竞争性假设；证据治理；人工智能</w:t>
      </w:r>
    </w:p>
    <w:p>
      <w:pPr>
        <w:pStyle w:val="Heading1"/>
      </w:pPr>
      <w:r>
        <w:t>一、问题的提出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现代社会科学长期在两种压力之间摆动：一方面，它试图通过概念、变量、模型和因果识别获得科学性；另一方面，它面对的社会现实始终开放、历史化、可解释并会对知识本身作出反应。理论越追求封闭，越可能剪除现实中决定性的关系；理论越强调复杂，越可能失去判定与证伪。人工智能的进入把这一矛盾进一步放大。大模型可以迅速综合材料、生成解释，却也容易把文本闭合误作知识闭合，把遗漏的变量、冲突的证据和无法区分的机制隐藏在流畅叙述之中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本文所称“结构不完满”，不是说社会科学永远无知，也不是把一切结论降为意见，而是指出：任何社会科学主张都只在某一对象定义、证据集合、时间区间、空间尺度、概念语言、方法选择与制度环境中成立。理论能够真实地捕捉结构，却不能默认自己穷尽现实。科学性因此不应只表现为给出结论，还应表现为公开结论的边界、竞争解释和改变结论所需的证据。</w:t>
      </w:r>
    </w:p>
    <w:p>
      <w:pPr>
        <w:pStyle w:val="Heading1"/>
      </w:pPr>
      <w:r>
        <w:t>二、结构不完满不是传统“不确定性”的同义词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统计不确定性通常描述估计误差、抽样波动或参数置信区间；结构不完满则进一步追问：对象是否被正确划界、变量是否遗漏、关系是否随时间改变、观测机制是否选择性地产生材料、行动者是否因理论和政策而改变行为。即使样本无限增加，错误的对象本体、不可见的关系和反身性反馈仍不会自动消失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它也不同于一般的“复杂性”。复杂系统可能包含大量变量，但在给定边界下仍可建立有效模型；结构不完满强调边界本身也是研究选择，且会改变被观察的对象。最后，它不同于相对主义。相对主义容易把多种解释并列而放弃裁决；结构不完满要求明确哪些证据能够区分解释，何时只能保留等价模型集合，何时已有充分理由淘汰某一主张。</w:t>
      </w:r>
    </w:p>
    <w:p>
      <w:pPr>
        <w:pStyle w:val="Heading1"/>
      </w:pPr>
      <w:r>
        <w:t>三、社会科学结构不完满的六个来源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第一，对象不完满。社会对象不是天然封闭单位。“家庭”“阶级”“国家”“宗教”“公共舆论”等对象的边界会随制度、语言和研究目的而变化。对象划界不是研究之前的纯技术步骤，而是理论的一部分。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第二，观测不完满。档案由制度生成，调查由提问方式生成，平台数据由算法和商业规则生成。缺少记录可能意味着事件没有发生，也可能意味着某类人缺乏留下记录的能力。证据缺失机制必须与研究对象一同建模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第三，概念不完满。同一概念跨时代、跨语言、跨群体使用时可能改变含义。概念既是观测工具，也是社会行动中的资源；研究者不能假定名称相同就代表结构相同。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第四，因果不完满。不同机制可能产生相同观察结果，同一机制在不同约束下也可能产生相反后果。社会科学常面临不可识别性：现有材料不足以区分候选机制。此时科学输出应是等价解释集合，而不是语言上最完整的单一故事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第五，反身性不完满。经济预测、政策分类、风险评级和身份理论会进入行动者视野，改变其行为，进而改变理论原本描述的对象。理论不仅观察世界，也可能成为世界中的变量。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第六，价值不完满。研究问题、指标和损失函数隐含何者值得观察、保护或优化。价值无法由数据自动推出，但可以被明确声明、比较并接受公共论证。</w:t>
      </w:r>
    </w:p>
    <w:p>
      <w:pPr>
        <w:pStyle w:val="Heading1"/>
      </w:pPr>
      <w:r>
        <w:t>四、SDA的形式化表达：从结论文本到研究状态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SDA不把研究理解为从材料直接跳到文章，而把时刻t的研究表示为状态R_t=(O_t,Q_t,E_t,H_t,C_t,M_t,U_t,A_t,V_t)。其中O为对象与尺度，Q为问题，E为证据及关系，H为竞争假设，C为边界条件与约束，M为方法和模型，U为未知、冲突与不可识别项，A为已执行和候选研究动作，V为版本、责任与出处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研究进展不是文字增加，而是状态发生可说明的更新：新证据可能支持或削弱假设，概念修订可能改变对象边界，反例可能迫使模型降级，材料冲突可能把“暂时成立”改为“无法裁决”。因此必须区分三个非蕴含关系：找到材料不等于材料支持主张；材料真实不等于结论可以成立；文本流畅不等于知识有效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对任一理论T，应声明其适用包络Ω(T)：对象范围、时间空间边界、证据条件、机制假定、允许扰动、反身性条件和价值前提。理论的严谨性不仅取决于包络内解释力，也取决于它是否诚实地标出包络外的未知。</w:t>
      </w:r>
    </w:p>
    <w:p>
      <w:pPr>
        <w:pStyle w:val="Heading1"/>
      </w:pPr>
      <w:r>
        <w:t>五、竞争解释与下一证据门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结构不完满要求研究不以一个最顺畅叙事封闭问题。对核心现象至少建立竞争假设集H={H1,H2,…,Hn}，分别记录每个假设能够解释的证据、不能解释的异常、依赖的隐藏条件和可能推翻它的观察。竞争解释不是附录中的形式性“局限”，而应进入研究设计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当现有材料不能区分假设时，系统不应强行排序，而应提出“下一证据门”：什么新材料、自然实验、时间序列、异质性模式、反事实分叉或跨介质证据能够提高区分度。下一证据门把“尚不知道”转化为可行动的研究计划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负向控制同样关键。若一种模型在目标材料、随机材料和同复杂度替代模型上都得到相似结构，则该结构不具有特异性。若删除一个关键维度就使结果完全消失，研究必须判断它是理论核心还是编码制造。允许负结果进入资产，正是避免AI把所有研究包装成成功故事的必要条件。</w:t>
      </w:r>
    </w:p>
    <w:p>
      <w:pPr>
        <w:pStyle w:val="Heading1"/>
      </w:pPr>
      <w:r>
        <w:t>六、动态重验证与可恢复研究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社会结构变化意味着曾经有效的理论可能失效。动态重验证要求在新材料、制度变化、测量变化或行动者反馈出现时，重新检查理论适用包络，而不是仅在原模型上继续累积引用。研究系统应保存父版本、修改理由、证据变化和结论变化，使知识演化可以追踪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可恢复研究意味着错误不必导致整个项目作废。发现编码偏差时，可以回到冻结语料重新编码；发现某个机制不可识别时，可以降级为描述性结构；发现对象边界错误时，可以保留旧版本并重建本体。恢复不是掩盖失败，而是把失败转化为下一轮研究动作。</w:t>
      </w:r>
    </w:p>
    <w:p>
      <w:pPr>
        <w:pStyle w:val="Heading1"/>
      </w:pPr>
      <w:r>
        <w:t>七、AI为何既加剧问题，也提供新可能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大模型扩大了材料处理和候选解释的规模，却天然倾向于补全、连贯和回答。若没有结构约束，它会把Unknown填成推测，把冲突材料折叠为折中措辞，把相关关系改写成因果语言。社会科学结构不完满因此不是AI应用的障碍，而是AI研究系统必须面对的首要事实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另一方面，多模型和多Agent可以承担检索、编码、反驳、替代解释、方法审计和复现等不同角色；知识图谱可以表达证据与主张的关系；版本系统可以记录人工修改；模拟和网络方法可以暴露传统阅读难以发现的结构。关键不在于让AI代替学者判断，而在于让学者能够看见AI为何得出某个候选结论、它遗漏了什么、何种证据会改变它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SDA ScholarOS据此把AI定位为“结构性研究环境”：模型负责扩大搜索和生成可能性，系统负责保存约束与证据状态，学者负责对象定义、语境解释、价值判断和最终责任。</w:t>
      </w:r>
    </w:p>
    <w:p>
      <w:pPr>
        <w:pStyle w:val="Heading1"/>
      </w:pPr>
      <w:r>
        <w:t>八、对既有社会科学知识生产的重构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结构不完满命题并不否定既有社会科学。经典理论在其历史问题和证据条件下可能具有强解释力；问题在于后来的使用者常把局部适用理论转换为无边界的标签。SDA要求把理论重新放回生成它的对象、尺度、材料和制度条件中，并检验它在新语境下哪些关系仍稳定、哪些已发生结构漂移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这也改变论文评价。高质量研究不只看结论是否新颖，还看问题是否被正确重构、证据生成机制是否被讨论、竞争解释是否被公平比较、Unknown是否被保存、失败条件是否明确、核心结构能否复现。论文由封闭文本变成可继续更新的研究资产。</w:t>
      </w:r>
    </w:p>
    <w:p>
      <w:pPr>
        <w:pStyle w:val="Heading1"/>
      </w:pPr>
      <w:r>
        <w:t>九、可证伪命题与研究议程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本文提出五项可检验命题。其一，在复杂人文社科任务中，显式保存Unknown与冲突的系统将降低无证据强断言比例。其二，强制生成竞争假设和下一证据门，将提高专家对研究问题增量的评分。其三，把证据生成机制纳入模型，将改变部分仅靠材料数量得出的结论。其四，保存版本、参数和人工修改，将提高独立复刻的结构一致性。其五，与通用大模型相比，SDA流程未必总能写出更漂亮的文本，但应在证据可追溯性、反例处理和结论降级方面表现更好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这些命题需要跨学科评价基准。可选择历史、文学、宗教、教育、传播等具有不同证据制度的课题，比较通用大模型、常规数字人文工具和SDA ScholarOS；评价不应由系统设计者单独完成，而应包括独立领域学者、盲审编码者与复现团队。</w:t>
      </w:r>
    </w:p>
    <w:p>
      <w:pPr>
        <w:pStyle w:val="Heading1"/>
      </w:pPr>
      <w:r>
        <w:t>十、结论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社会科学的不完满不是等待更大数据或更强模型消除的暂时缺陷，而是其研究对象开放、历史化和反身性的结构事实。承认这一事实不会削弱科学性，反而为更严格的知识纪律提供起点：明确对象与尺度，声明理论适用包络，保存未知与冲突，比较竞争解释，设置下一证据门，并在世界变化时动态重验证。</w:t>
      </w:r>
    </w:p>
    <w:p>
      <w:pPr>
        <w:spacing w:before="0" w:after="120" w:line="307" w:lineRule="auto"/>
      </w:pPr>
      <w:r>
        <w:rPr>
          <w:rFonts w:ascii="Calibri" w:hAnsi="Calibri" w:eastAsia="SimSun"/>
          <w:b w:val="0"/>
          <w:sz w:val="21"/>
        </w:rPr>
        <w:t>AI时代真正需要的不是一台把所有问题写成完整答案的机器，而是一套能够区分已知与未知、发现结构又限制解释、允许失败并支持恢复的研究基础设施。SDA及SDA ScholarOS的理论任务，正是把这种纪律转化为可执行、可复现并能由学术共同体持续批评的系统。</w:t>
      </w:r>
    </w:p>
    <w:p>
      <w:pPr>
        <w:pStyle w:val="Heading1"/>
      </w:pPr>
      <w:r>
        <w:t>参考文献（理论框架基础文献）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Bhaskar, R. A Realist Theory of Science. Routledge, 1975.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Giddens, A. The Constitution of Society. Polity, 1984.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Luhmann, N. Social Systems. Stanford University Press, 1995.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Merton, R. K. Social Theory and Social Structure. Free Press, 1968.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Popper, K. The Logic of Scientific Discovery. Routledge, 1959.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Simon, H. A. The Sciences of the Artificial. MIT Press, 1969.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Abbott, A. Time Matters. University of Chicago Press, 2001.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Pearl, J. Causality. Cambridge University Press, 2009.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Longino, H. Science as Social Knowledge. Princeton University Press, 1990.</w:t>
      </w:r>
    </w:p>
    <w:p>
      <w:pPr>
        <w:spacing w:before="0" w:after="60" w:line="252" w:lineRule="auto"/>
      </w:pPr>
      <w:r>
        <w:rPr>
          <w:rFonts w:ascii="Calibri" w:hAnsi="Calibri" w:eastAsia="SimSun"/>
          <w:b w:val="0"/>
          <w:sz w:val="19"/>
        </w:rPr>
        <w:t>Cartwright, N. How the Laws of Physics Lie. Oxford University Press, 1983.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SimSun"/>
        <w:b w:val="0"/>
        <w:color w:val="5A626C"/>
        <w:sz w:val="16"/>
      </w:rPr>
      <w:t>供内部讨论  ·  2026年8月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SimSun"/>
        <w:b w:val="0"/>
        <w:color w:val="5A626C"/>
        <w:sz w:val="16"/>
      </w:rPr>
      <w:t>VINSON TECHNOLOGY (SINGAPORE) PTE. LTD.  |  清华合作材料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Calibri" w:hAnsi="Calibri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 w:eastAsia="SimSun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 w:eastAsia="SimSun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 w:eastAsia="SimSun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