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pPr>
    </w:p>
    <w:p>
      <w:pPr>
        <w:widowControl/>
      </w:pPr>
    </w:p>
    <w:p>
      <w:pPr>
        <w:widowControl/>
      </w:pPr>
    </w:p>
    <w:p>
      <w:pPr>
        <w:widowControl/>
      </w:pPr>
    </w:p>
    <w:p>
      <w:pPr>
        <w:widowControl/>
        <w:spacing w:after="240"/>
        <w:jc w:val="center"/>
      </w:pPr>
      <w:r>
        <w:rPr>
          <w:rFonts w:ascii="Times New Roman" w:hAnsi="Times New Roman" w:eastAsia="Noto Sans CJK SC"/>
          <w:b/>
          <w:color w:val="142F46"/>
          <w:sz w:val="44"/>
        </w:rPr>
        <w:t>超越“风雅颂”：〈诗经〉社会状态网络的结构发现、历史解释与〈周易〉比较性语法</w:t>
      </w:r>
    </w:p>
    <w:p>
      <w:pPr>
        <w:widowControl/>
        <w:spacing w:after="600"/>
        <w:jc w:val="center"/>
      </w:pPr>
      <w:r>
        <w:rPr>
          <w:rFonts w:ascii="Times New Roman" w:hAnsi="Times New Roman" w:eastAsia="Noto Serif SC"/>
          <w:color w:val="374B5A"/>
          <w:sz w:val="26"/>
        </w:rPr>
        <w:t>——基于305篇有辞诗、311节点与1319条章级路径的可证伪研究</w:t>
      </w:r>
    </w:p>
    <w:p>
      <w:pPr>
        <w:widowControl/>
        <w:spacing w:after="120"/>
        <w:jc w:val="center"/>
      </w:pPr>
      <w:r>
        <w:rPr>
          <w:rFonts w:ascii="Times New Roman" w:hAnsi="Times New Roman" w:eastAsia="Noto Sans CJK SC"/>
          <w:b/>
          <w:sz w:val="28"/>
        </w:rPr>
        <w:t>文　颜</w:t>
      </w:r>
    </w:p>
    <w:p>
      <w:pPr>
        <w:widowControl/>
        <w:spacing w:after="80"/>
        <w:jc w:val="center"/>
      </w:pPr>
      <w:r>
        <w:rPr>
          <w:rFonts w:ascii="Times New Roman" w:hAnsi="Times New Roman" w:eastAsia="Noto Serif SC"/>
          <w:sz w:val="21"/>
        </w:rPr>
        <w:t>Vinson Technology SDA ScholarOS Research Center, Singapore</w:t>
      </w:r>
    </w:p>
    <w:p>
      <w:pPr>
        <w:widowControl/>
        <w:jc w:val="center"/>
      </w:pPr>
      <w:r>
        <w:rPr>
          <w:rFonts w:ascii="Times New Roman" w:hAnsi="Times New Roman" w:eastAsia="Noto Serif SC"/>
          <w:sz w:val="20"/>
        </w:rPr>
        <w:t>电子邮箱：drpeng99@126.com</w:t>
      </w:r>
    </w:p>
    <w:p>
      <w:pPr>
        <w:widowControl/>
      </w:pPr>
    </w:p>
    <w:p>
      <w:pPr>
        <w:widowControl/>
      </w:pPr>
    </w:p>
    <w:p>
      <w:pPr>
        <w:widowControl/>
      </w:pPr>
    </w:p>
    <w:p>
      <w:pPr>
        <w:widowControl/>
      </w:pPr>
    </w:p>
    <w:p>
      <w:pPr>
        <w:widowControl/>
      </w:pPr>
    </w:p>
    <w:p>
      <w:pPr>
        <w:widowControl/>
        <w:jc w:val="center"/>
      </w:pPr>
      <w:r>
        <w:rPr>
          <w:rFonts w:ascii="Times New Roman" w:hAnsi="Times New Roman" w:eastAsia="Noto Serif SC"/>
          <w:color w:val="646464"/>
          <w:sz w:val="20"/>
        </w:rPr>
        <w:t>研究稿 v1.0｜2026年8月31日</w:t>
      </w:r>
    </w:p>
    <w:p>
      <w:pPr>
        <w:widowControl/>
      </w:pPr>
      <w:r>
        <w:br w:type="page"/>
      </w:r>
    </w:p>
    <w:p>
      <w:pPr>
        <w:widowControl/>
        <w:spacing w:after="160"/>
      </w:pPr>
      <w:r>
        <w:rPr>
          <w:rFonts w:ascii="Times New Roman" w:hAnsi="Times New Roman" w:eastAsia="Noto Sans CJK SC"/>
          <w:b/>
          <w:color w:val="1F4E79"/>
          <w:sz w:val="28"/>
        </w:rPr>
        <w:t>摘　要</w:t>
      </w:r>
    </w:p>
    <w:p>
      <w:pPr>
        <w:pStyle w:val="Abstract"/>
        <w:widowControl/>
      </w:pPr>
      <w:r>
        <w:rPr>
          <w:rFonts w:ascii="Times New Roman" w:hAnsi="Times New Roman" w:eastAsia="Noto Serif SC"/>
          <w:sz w:val="21"/>
        </w:rPr>
        <w:t>传统《诗经》研究以“风—雅—颂”、地域、作者、时代或礼制功能为主要组织框架，这些框架具有深厚的解释史，却不能直接回答一个更基础的问题：若暂时悬置既有部类标签，仅依据文本所呈现的行动者、资源、制度、情感、风险、合法性、仪式与恢复关系，《诗经》内部将形成怎样的社会状态结构？本文以305篇有辞诗为可计算文本，以6篇无辞笙诗为显式缺失节点，建立311节点研究本体；进一步把诗章编码为1319条章级动力路径，并以八维状态向量、相似网络、无监督共同体发现、标签置乱、跨表示复刻和外部历史证据校验构成可证伪研究链。结果显示：文本网络形成四个跨部类共同体，模块度Q=0.4373；共同体与“风雅颂”标签的一致性仅NMI=0.0580，54.36%的有效联系跨越传统部类。最稳定的结构核心不是单一题材，而是“仪式—祖先—合法性—危机恢复”的耦合机制。它提示《诗经》可被重新理解为周代社会状态与秩序修复经验的异质性档案。本文继而将《周易》64卦、384爻及4096卦变空间作为竞争性比较模型，而非预设母结构。多组特异性检验表明，《周易》对于处境识别、行动约束、后果比较与恢复判断具有局部解释价值，但现有证据不支持《诗经》由《周易》生成、二者全局同构、Q₆拓扑具有唯一解释力，亦不支持由此恢复唯一年代序列。本文的贡献不在于以算法替代经学，而在于把文本结构、历史解释与否证边界置于同一证据体系，使“发现了什么”“由何证据支持”以及“尚不能声称什么”同时获得形式化表达。</w:t>
      </w:r>
    </w:p>
    <w:p>
      <w:pPr>
        <w:pStyle w:val="Keywords"/>
        <w:widowControl/>
        <w:ind w:firstLine="0"/>
      </w:pPr>
      <w:r>
        <w:rPr>
          <w:rFonts w:ascii="Times New Roman" w:hAnsi="Times New Roman" w:eastAsia="Noto Serif SC"/>
          <w:b/>
          <w:sz w:val="22"/>
        </w:rPr>
        <w:t>关键词：</w:t>
      </w:r>
      <w:r>
        <w:rPr>
          <w:rFonts w:ascii="Times New Roman" w:hAnsi="Times New Roman" w:eastAsia="Noto Serif SC"/>
          <w:sz w:val="22"/>
        </w:rPr>
        <w:t>《诗经》；结构历史学；社会状态网络；仪式；危机恢复；《周易》；SDA；可证伪研究</w:t>
      </w:r>
    </w:p>
    <w:p>
      <w:pPr>
        <w:widowControl/>
        <w:spacing w:before="200" w:after="140"/>
      </w:pPr>
      <w:r>
        <w:rPr>
          <w:rFonts w:ascii="Times New Roman" w:hAnsi="Times New Roman" w:eastAsia="Noto Serif SC"/>
          <w:b/>
          <w:color w:val="1F4E79"/>
          <w:sz w:val="28"/>
        </w:rPr>
        <w:t>Abstract</w:t>
      </w:r>
    </w:p>
    <w:p>
      <w:pPr>
        <w:pStyle w:val="Abstract"/>
        <w:widowControl/>
      </w:pPr>
      <w:r>
        <w:rPr>
          <w:rFonts w:ascii="Times New Roman" w:hAnsi="Times New Roman" w:eastAsia="Noto Serif SC"/>
          <w:sz w:val="21"/>
        </w:rPr>
        <w:t>Scholarship on the Shijing has long been organized by genre, region, chronology, authorship, and ritual function. This article asks a prior structural question: if the received labels Feng, Ya, and Song are temporarily withheld, what social-state architecture emerges from the relations among actors, resources, institutions, affects, risks, legitimacy, ritual, and recovery? We construct a 311-node research ontology comprising 305 poems with extant text and six explicitly missing “sheng poems,” and represent 1,319 stanzas as dynamic state paths. An eight-dimensional state model is combined with similarity networks, unsupervised community detection, label permutation, cross-representation replication, and external historical validation. Four cross-generic communities emerge (modularity Q=0.4373); their agreement with the received generic classification is low (NMI=0.0580), while 54.36 percent of effective links cross generic boundaries. The most stable core couples ritual, ancestry, legitimacy, and crisis recovery. The Zhouyi is then introduced as a competing comparative grammar rather than a presumed generative template. Tests across its 64 hexagrams, 384 lines, and 4,096 transformation space support a limited semantic value for diagnosing situations, constraining action, comparing consequences, and describing recovery. They do not support global structural specificity, direct generation of the Shijing, a unique Q6 topology, or a recoverable single chronology. The article offers a falsifiable framework in which computational discovery, historical interpretation, and limits of inference are reported together.</w:t>
      </w:r>
    </w:p>
    <w:p>
      <w:pPr>
        <w:pStyle w:val="Keywords"/>
        <w:widowControl/>
        <w:ind w:firstLine="0"/>
      </w:pPr>
      <w:r>
        <w:rPr>
          <w:rFonts w:ascii="Times New Roman" w:hAnsi="Times New Roman" w:eastAsia="Noto Serif SC"/>
          <w:b/>
          <w:sz w:val="22"/>
        </w:rPr>
        <w:t>Keywords:</w:t>
      </w:r>
      <w:r>
        <w:rPr>
          <w:rFonts w:ascii="Times New Roman" w:hAnsi="Times New Roman" w:eastAsia="Noto Serif SC"/>
          <w:sz w:val="22"/>
        </w:rPr>
        <w:t xml:space="preserve"> Shijing; structural history; social-state network; ritual; crisis recovery; Zhouyi; falsifiability</w:t>
      </w:r>
    </w:p>
    <w:p>
      <w:pPr>
        <w:pStyle w:val="Heading1"/>
        <w:widowControl/>
      </w:pPr>
      <w:r>
        <w:t>一、问题的重构：在“风雅颂”之前询问《诗经》的结构</w:t>
      </w:r>
    </w:p>
    <w:p>
      <w:pPr>
        <w:widowControl/>
      </w:pPr>
      <w:r>
        <w:rPr>
          <w:rFonts w:ascii="Times New Roman" w:hAnsi="Times New Roman" w:eastAsia="Noto Serif SC"/>
          <w:sz w:val="22"/>
        </w:rPr>
        <w:t>《诗经》研究从来不缺少分类。毛诗序说、三家诗传统、经学解释、礼制史、文学史、语言学、出土文献与表演研究，分别把305篇有辞诗安置在不同知识秩序之中。“风雅颂”尤其构成最强的先验框架：它既是传世文本的编辑结构，也是后世理解政治层级、音乐制度和文体差异的基本入口。然而，编辑分类、历史功能与文本内部关系并非同一对象。如果研究者把既有标签直接作为模型目标，计算结果很容易成为传统分类的数字复述；如果彻底取消历史知识，模型又会退化为词频聚类，难以说明周代社会。真正需要解决的问题，是如何在避免“先验决定结论”与“无历史语义计算”之间建立第三条道路。</w:t>
      </w:r>
    </w:p>
    <w:p>
      <w:pPr>
        <w:widowControl/>
      </w:pPr>
      <w:r>
        <w:rPr>
          <w:rFonts w:ascii="Times New Roman" w:hAnsi="Times New Roman" w:eastAsia="Noto Serif SC"/>
          <w:sz w:val="22"/>
        </w:rPr>
        <w:t>本文把问题改写为：每篇诗所表达的不是一个固定主题，而是一个由行动者、资源、制度约束、情感强度、风险压力、合法性诉求、仪式介入和恢复能力共同构成的社会状态；诗章的展开则是状态随叙事、仪式或言说行动发生的转移。由此，《诗经》的研究单位从“题材标签”转为“状态—操作—后果”关系。传统分类不被废除，而是被保留为外部参照：只有在独立结构发现完成以后，才检验新结构与“风雅颂”、地域、礼制和历史证据之间的关系。</w:t>
      </w:r>
    </w:p>
    <w:p>
      <w:pPr>
        <w:widowControl/>
      </w:pPr>
      <w:r>
        <w:rPr>
          <w:rFonts w:ascii="Times New Roman" w:hAnsi="Times New Roman" w:eastAsia="Noto Serif SC"/>
          <w:sz w:val="22"/>
        </w:rPr>
        <w:t>这一转换包含三项纪律。第一，发现顺序必须是“先诗后易”：先由《诗经》自身生成结构，再引入《周易》进行比较，避免以六十四卦预切文本。第二，解释权必须分层：算法可以发现关系，但不能独立决定年代、事件或制度含义；历史判断必须由传世文献、金文、考古和既有研究共同约束。第三，阴性结果必须与阳性结果同等报告。若《周易》的特殊结构不优于同复杂度的替代模型，就不能将可读性误写为历史生成关系。</w:t>
      </w:r>
    </w:p>
    <w:p>
      <w:pPr>
        <w:pStyle w:val="Heading1"/>
        <w:widowControl/>
      </w:pPr>
      <w:r>
        <w:t>二、研究对象、数据本体与证据层级</w:t>
      </w:r>
    </w:p>
    <w:p>
      <w:pPr>
        <w:pStyle w:val="Heading2"/>
        <w:widowControl/>
      </w:pPr>
      <w:r>
        <w:t>（一）311节点：完整文本与缺失文本的区分</w:t>
      </w:r>
    </w:p>
    <w:p>
      <w:pPr>
        <w:widowControl/>
      </w:pPr>
      <w:r>
        <w:rPr>
          <w:rFonts w:ascii="Times New Roman" w:hAnsi="Times New Roman" w:eastAsia="Noto Serif SC"/>
          <w:sz w:val="22"/>
        </w:rPr>
        <w:t>本文采用“311节点、305篇可计算文本”的双层口径。《南陔》《白华》《华黍》《由庚》《崇丘》《由仪》六篇笙诗只存篇名而无完整诗辞。它们在文献史上属于《诗经》结构的一部分，却不能与305篇有辞诗接受同等语义编码。因此，本研究保留六篇为缺失节点，记录其部类位置和文本状态，但不补造诗句、不以篇名推断完整语义，也不把缺失值当作零值。所有文本统计、网络估计和语义检验均以305篇有辞诗为主样本。</w:t>
      </w:r>
    </w:p>
    <w:p>
      <w:pPr>
        <w:pStyle w:val="Heading2"/>
        <w:widowControl/>
      </w:pPr>
      <w:r>
        <w:t>（二）三层证据架构</w:t>
      </w:r>
    </w:p>
    <w:tbl>
      <w:tblPr>
        <w:tblW w:type="dxa" w:w="9360"/>
        <w:jc w:val="center"/>
        <w:tblLayout w:type="fixed"/>
        <w:tblLook w:firstColumn="1" w:firstRow="1" w:lastColumn="0" w:lastRow="0" w:noHBand="0" w:noVBand="1" w:val="04A0"/>
        <w:tblInd w:w="120" w:type="dxa"/>
      </w:tblPr>
      <w:tblGrid>
        <w:gridCol w:w="1080"/>
        <w:gridCol w:w="3240"/>
        <w:gridCol w:w="5040"/>
      </w:tblGrid>
      <w:tr>
        <w:tc>
          <w:tcPr>
            <w:tcW w:type="dxa" w:w="1080"/>
            <w:shd w:fill="E8EEF5"/>
            <w:vAlign w:val="center"/>
            <w:tcMar>
              <w:top w:w="90" w:type="dxa"/>
              <w:start w:w="120" w:type="dxa"/>
              <w:bottom w:w="90" w:type="dxa"/>
              <w:end w:w="120" w:type="dxa"/>
            </w:tcMar>
          </w:tcPr>
          <w:p>
            <w:pPr>
              <w:spacing w:after="0"/>
              <w:ind w:firstLine="0"/>
              <w:jc w:val="center"/>
            </w:pPr>
            <w:r>
              <w:rPr>
                <w:rFonts w:ascii="Times New Roman" w:hAnsi="Times New Roman" w:eastAsia="Noto Sans CJK SC"/>
                <w:b/>
                <w:sz w:val="19"/>
              </w:rPr>
              <w:t>证据层</w:t>
            </w:r>
          </w:p>
        </w:tc>
        <w:tc>
          <w:tcPr>
            <w:tcW w:type="dxa" w:w="3240"/>
            <w:shd w:fill="E8EEF5"/>
            <w:vAlign w:val="center"/>
            <w:tcMar>
              <w:top w:w="90" w:type="dxa"/>
              <w:start w:w="120" w:type="dxa"/>
              <w:bottom w:w="90" w:type="dxa"/>
              <w:end w:w="120" w:type="dxa"/>
            </w:tcMar>
          </w:tcPr>
          <w:p>
            <w:pPr>
              <w:spacing w:after="0"/>
              <w:ind w:firstLine="0"/>
              <w:jc w:val="center"/>
            </w:pPr>
            <w:r>
              <w:rPr>
                <w:rFonts w:ascii="Times New Roman" w:hAnsi="Times New Roman" w:eastAsia="Noto Sans CJK SC"/>
                <w:b/>
                <w:sz w:val="19"/>
              </w:rPr>
              <w:t>对象</w:t>
            </w:r>
          </w:p>
        </w:tc>
        <w:tc>
          <w:tcPr>
            <w:tcW w:type="dxa" w:w="5040"/>
            <w:shd w:fill="E8EEF5"/>
            <w:vAlign w:val="center"/>
            <w:tcMar>
              <w:top w:w="90" w:type="dxa"/>
              <w:start w:w="120" w:type="dxa"/>
              <w:bottom w:w="90" w:type="dxa"/>
              <w:end w:w="120" w:type="dxa"/>
            </w:tcMar>
          </w:tcPr>
          <w:p>
            <w:pPr>
              <w:spacing w:after="0"/>
              <w:ind w:firstLine="0"/>
              <w:jc w:val="center"/>
            </w:pPr>
            <w:r>
              <w:rPr>
                <w:rFonts w:ascii="Times New Roman" w:hAnsi="Times New Roman" w:eastAsia="Noto Sans CJK SC"/>
                <w:b/>
                <w:sz w:val="19"/>
              </w:rPr>
              <w:t>允许支持的结论</w:t>
            </w:r>
          </w:p>
        </w:tc>
      </w:tr>
      <w:tr>
        <w:tc>
          <w:tcPr>
            <w:tcW w:type="dxa" w:w="1080"/>
            <w:vAlign w:val="center"/>
            <w:tcMar>
              <w:top w:w="90" w:type="dxa"/>
              <w:start w:w="120" w:type="dxa"/>
              <w:bottom w:w="90" w:type="dxa"/>
              <w:end w:w="120" w:type="dxa"/>
            </w:tcMar>
          </w:tcPr>
          <w:p>
            <w:pPr>
              <w:spacing w:after="0" w:line="276" w:lineRule="auto"/>
              <w:ind w:firstLine="0"/>
              <w:jc w:val="center"/>
            </w:pPr>
            <w:r>
              <w:rPr>
                <w:rFonts w:ascii="Times New Roman" w:hAnsi="Times New Roman" w:eastAsia="Noto Serif SC"/>
                <w:sz w:val="18"/>
              </w:rPr>
              <w:t>E1</w:t>
            </w:r>
          </w:p>
        </w:tc>
        <w:tc>
          <w:tcPr>
            <w:tcW w:type="dxa" w:w="3240"/>
            <w:vAlign w:val="center"/>
            <w:tcMar>
              <w:top w:w="90" w:type="dxa"/>
              <w:start w:w="120" w:type="dxa"/>
              <w:bottom w:w="90" w:type="dxa"/>
              <w:end w:w="120" w:type="dxa"/>
            </w:tcMar>
          </w:tcPr>
          <w:p>
            <w:pPr>
              <w:spacing w:after="0" w:line="276" w:lineRule="auto"/>
              <w:ind w:firstLine="0"/>
              <w:jc w:val="center"/>
            </w:pPr>
            <w:r>
              <w:rPr>
                <w:rFonts w:ascii="Times New Roman" w:hAnsi="Times New Roman" w:eastAsia="Noto Serif SC"/>
                <w:sz w:val="18"/>
              </w:rPr>
              <w:t>诗篇、诗章与编码记录</w:t>
            </w:r>
          </w:p>
        </w:tc>
        <w:tc>
          <w:tcPr>
            <w:tcW w:type="dxa" w:w="5040"/>
            <w:vAlign w:val="center"/>
            <w:tcMar>
              <w:top w:w="90" w:type="dxa"/>
              <w:start w:w="120" w:type="dxa"/>
              <w:bottom w:w="90" w:type="dxa"/>
              <w:end w:w="120" w:type="dxa"/>
            </w:tcMar>
          </w:tcPr>
          <w:p>
            <w:pPr>
              <w:spacing w:after="0" w:line="276" w:lineRule="auto"/>
              <w:ind w:firstLine="0"/>
              <w:jc w:val="left"/>
            </w:pPr>
            <w:r>
              <w:rPr>
                <w:rFonts w:ascii="Times New Roman" w:hAnsi="Times New Roman" w:eastAsia="Noto Serif SC"/>
                <w:sz w:val="18"/>
              </w:rPr>
              <w:t>文本内部的状态、相似关系与动力路径</w:t>
            </w:r>
          </w:p>
        </w:tc>
      </w:tr>
      <w:tr>
        <w:tc>
          <w:tcPr>
            <w:tcW w:type="dxa" w:w="1080"/>
            <w:vAlign w:val="center"/>
            <w:tcMar>
              <w:top w:w="90" w:type="dxa"/>
              <w:start w:w="120" w:type="dxa"/>
              <w:bottom w:w="90" w:type="dxa"/>
              <w:end w:w="120" w:type="dxa"/>
            </w:tcMar>
          </w:tcPr>
          <w:p>
            <w:pPr>
              <w:spacing w:after="0" w:line="276" w:lineRule="auto"/>
              <w:ind w:firstLine="0"/>
              <w:jc w:val="center"/>
            </w:pPr>
            <w:r>
              <w:rPr>
                <w:rFonts w:ascii="Times New Roman" w:hAnsi="Times New Roman" w:eastAsia="Noto Serif SC"/>
                <w:sz w:val="18"/>
              </w:rPr>
              <w:t>E2</w:t>
            </w:r>
          </w:p>
        </w:tc>
        <w:tc>
          <w:tcPr>
            <w:tcW w:type="dxa" w:w="3240"/>
            <w:vAlign w:val="center"/>
            <w:tcMar>
              <w:top w:w="90" w:type="dxa"/>
              <w:start w:w="120" w:type="dxa"/>
              <w:bottom w:w="90" w:type="dxa"/>
              <w:end w:w="120" w:type="dxa"/>
            </w:tcMar>
          </w:tcPr>
          <w:p>
            <w:pPr>
              <w:spacing w:after="0" w:line="276" w:lineRule="auto"/>
              <w:ind w:firstLine="0"/>
              <w:jc w:val="left"/>
            </w:pPr>
            <w:r>
              <w:rPr>
                <w:rFonts w:ascii="Times New Roman" w:hAnsi="Times New Roman" w:eastAsia="Noto Serif SC"/>
                <w:sz w:val="18"/>
              </w:rPr>
              <w:t>传世注疏、金文、考古与制度史材料</w:t>
            </w:r>
          </w:p>
        </w:tc>
        <w:tc>
          <w:tcPr>
            <w:tcW w:type="dxa" w:w="5040"/>
            <w:vAlign w:val="center"/>
            <w:tcMar>
              <w:top w:w="90" w:type="dxa"/>
              <w:start w:w="120" w:type="dxa"/>
              <w:bottom w:w="90" w:type="dxa"/>
              <w:end w:w="120" w:type="dxa"/>
            </w:tcMar>
          </w:tcPr>
          <w:p>
            <w:pPr>
              <w:spacing w:after="0" w:line="276" w:lineRule="auto"/>
              <w:ind w:firstLine="0"/>
              <w:jc w:val="center"/>
            </w:pPr>
            <w:r>
              <w:rPr>
                <w:rFonts w:ascii="Times New Roman" w:hAnsi="Times New Roman" w:eastAsia="Noto Serif SC"/>
                <w:sz w:val="18"/>
              </w:rPr>
              <w:t>结构的历史可解释性与局部定位</w:t>
            </w:r>
          </w:p>
        </w:tc>
      </w:tr>
      <w:tr>
        <w:tc>
          <w:tcPr>
            <w:tcW w:type="dxa" w:w="1080"/>
            <w:vAlign w:val="center"/>
            <w:tcMar>
              <w:top w:w="90" w:type="dxa"/>
              <w:start w:w="120" w:type="dxa"/>
              <w:bottom w:w="90" w:type="dxa"/>
              <w:end w:w="120" w:type="dxa"/>
            </w:tcMar>
          </w:tcPr>
          <w:p>
            <w:pPr>
              <w:spacing w:after="0" w:line="276" w:lineRule="auto"/>
              <w:ind w:firstLine="0"/>
              <w:jc w:val="center"/>
            </w:pPr>
            <w:r>
              <w:rPr>
                <w:rFonts w:ascii="Times New Roman" w:hAnsi="Times New Roman" w:eastAsia="Noto Serif SC"/>
                <w:sz w:val="18"/>
              </w:rPr>
              <w:t>E3</w:t>
            </w:r>
          </w:p>
        </w:tc>
        <w:tc>
          <w:tcPr>
            <w:tcW w:type="dxa" w:w="3240"/>
            <w:vAlign w:val="center"/>
            <w:tcMar>
              <w:top w:w="90" w:type="dxa"/>
              <w:start w:w="120" w:type="dxa"/>
              <w:bottom w:w="90" w:type="dxa"/>
              <w:end w:w="120" w:type="dxa"/>
            </w:tcMar>
          </w:tcPr>
          <w:p>
            <w:pPr>
              <w:spacing w:after="0" w:line="276" w:lineRule="auto"/>
              <w:ind w:firstLine="0"/>
              <w:jc w:val="center"/>
            </w:pPr>
            <w:r>
              <w:rPr>
                <w:rFonts w:ascii="Times New Roman" w:hAnsi="Times New Roman" w:eastAsia="Noto Serif SC"/>
                <w:sz w:val="18"/>
              </w:rPr>
              <w:t>《周易》卦爻、卦变与替代模型</w:t>
            </w:r>
          </w:p>
        </w:tc>
        <w:tc>
          <w:tcPr>
            <w:tcW w:type="dxa" w:w="5040"/>
            <w:vAlign w:val="center"/>
            <w:tcMar>
              <w:top w:w="90" w:type="dxa"/>
              <w:start w:w="120" w:type="dxa"/>
              <w:bottom w:w="90" w:type="dxa"/>
              <w:end w:w="120" w:type="dxa"/>
            </w:tcMar>
          </w:tcPr>
          <w:p>
            <w:pPr>
              <w:spacing w:after="0" w:line="276" w:lineRule="auto"/>
              <w:ind w:firstLine="0"/>
              <w:jc w:val="left"/>
            </w:pPr>
            <w:r>
              <w:rPr>
                <w:rFonts w:ascii="Times New Roman" w:hAnsi="Times New Roman" w:eastAsia="Noto Serif SC"/>
                <w:sz w:val="18"/>
              </w:rPr>
              <w:t>比较性语法的增量解释力与失败边界</w:t>
            </w:r>
          </w:p>
        </w:tc>
      </w:tr>
    </w:tbl>
    <w:p>
      <w:pPr>
        <w:widowControl/>
      </w:pPr>
      <w:r>
        <w:rPr>
          <w:rFonts w:ascii="Times New Roman" w:hAnsi="Times New Roman" w:eastAsia="Noto Serif SC"/>
          <w:sz w:val="22"/>
        </w:rPr>
        <w:t>三层证据不可相互替代。E1的聚类不能直接证明西周编年；E2的个案吻合不能证明全局网络；E3的语义可读性更不能证明《周易》生成《诗经》。这一证据分层是全文最重要的方法约束。</w:t>
      </w:r>
    </w:p>
    <w:p>
      <w:pPr>
        <w:pStyle w:val="Heading1"/>
        <w:widowControl/>
      </w:pPr>
      <w:r>
        <w:t>三、方法：从八维状态到可证伪结构发现</w:t>
      </w:r>
    </w:p>
    <w:p>
      <w:pPr>
        <w:pStyle w:val="Heading2"/>
        <w:widowControl/>
      </w:pPr>
      <w:r>
        <w:t>（一）八维社会状态向量</w:t>
      </w:r>
    </w:p>
    <w:p>
      <w:pPr>
        <w:widowControl/>
      </w:pPr>
      <w:r>
        <w:rPr>
          <w:rFonts w:ascii="Times New Roman" w:hAnsi="Times New Roman" w:eastAsia="Noto Serif SC"/>
          <w:sz w:val="22"/>
        </w:rPr>
        <w:t>对每一篇诗i，定义状态向量xᵢ。八个维度不是对传统题材的重新命名，而是描述社会系统在文本中的可见状态：行动者A、资源与生计R、制度约束I、情感负荷E、风险与压力P、合法性L、仪式介入C、恢复潜能H。</w:t>
      </w:r>
    </w:p>
    <w:p>
      <w:pPr>
        <w:pStyle w:val="Equation"/>
        <w:widowControl/>
      </w:pPr>
      <w:r>
        <w:rPr>
          <w:rFonts w:ascii="Cambria Math" w:hAnsi="Cambria Math" w:eastAsia="Noto Serif SC"/>
          <w:sz w:val="21"/>
        </w:rPr>
        <w:t>xᵢ = (Aᵢ, Rᵢ, Iᵢ, Eᵢ, Pᵢ, Lᵢ, Cᵢ, Hᵢ) ∈ [0,1]⁸</w:t>
      </w:r>
    </w:p>
    <w:p>
      <w:pPr>
        <w:widowControl/>
      </w:pPr>
      <w:r>
        <w:rPr>
          <w:rFonts w:ascii="Times New Roman" w:hAnsi="Times New Roman" w:eastAsia="Noto Serif SC"/>
          <w:sz w:val="22"/>
        </w:rPr>
        <w:t>编码同时保留“证据可见性”。某维度未被文本充分表达，不等于该社会要素不存在。故每个状态值附带可见性权重vᵢk与证据来源eᵢk，以区分“低值”“未知”和“不可判定”。对六篇无辞诗，语义维度统一记为缺失，而非0。</w:t>
      </w:r>
    </w:p>
    <w:p>
      <w:pPr>
        <w:pStyle w:val="Heading2"/>
        <w:widowControl/>
      </w:pPr>
      <w:r>
        <w:t>（二）从诗篇状态到诗章动力路径</w:t>
      </w:r>
    </w:p>
    <w:p>
      <w:pPr>
        <w:widowControl/>
      </w:pPr>
      <w:r>
        <w:rPr>
          <w:rFonts w:ascii="Times New Roman" w:hAnsi="Times New Roman" w:eastAsia="Noto Serif SC"/>
          <w:sz w:val="22"/>
        </w:rPr>
        <w:t>篇级向量适合发现静态结构，但《诗经》的关键意义经常存在于诗章变化中。本文将1319个诗章按文本顺序编码为状态xᵢ,t，并计算相邻诗章之间的差分Δxᵢ,t。若某诗由离散、匮乏或威胁转向仪式介入、关系修复与合法性恢复，其动力路径可表示为：</w:t>
      </w:r>
    </w:p>
    <w:p>
      <w:pPr>
        <w:pStyle w:val="Equation"/>
        <w:widowControl/>
      </w:pPr>
      <w:r>
        <w:rPr>
          <w:rFonts w:ascii="Cambria Math" w:hAnsi="Cambria Math" w:eastAsia="Noto Serif SC"/>
          <w:sz w:val="21"/>
        </w:rPr>
        <w:t>Δxᵢ,t = xᵢ,t+1 − xᵢ,t　；　τᵢ = {xᵢ,1 → xᵢ,2 → … → xᵢ,Tᵢ}</w:t>
      </w:r>
    </w:p>
    <w:p>
      <w:pPr>
        <w:widowControl/>
      </w:pPr>
      <w:r>
        <w:rPr>
          <w:rFonts w:ascii="Times New Roman" w:hAnsi="Times New Roman" w:eastAsia="Noto Serif SC"/>
          <w:sz w:val="22"/>
        </w:rPr>
        <w:t>因此，本文所称“恢复”不是研究者对圆满结局的主观赞词，而是满足一组可检验条件的状态迁移：风险或冲突下降，行动协调上升，合法性、制度可承受性或群体连续性得到至少一项改善。若仪式出现但风险未降、暴力未止或合法性继续流失，该路径不计为成功恢复。</w:t>
      </w:r>
    </w:p>
    <w:p>
      <w:pPr>
        <w:pStyle w:val="Heading2"/>
        <w:widowControl/>
      </w:pPr>
      <w:r>
        <w:t>（三）网络建模与共同体发现</w:t>
      </w:r>
    </w:p>
    <w:p>
      <w:pPr>
        <w:widowControl/>
      </w:pPr>
      <w:r>
        <w:rPr>
          <w:rFonts w:ascii="Times New Roman" w:hAnsi="Times New Roman" w:eastAsia="Noto Serif SC"/>
          <w:sz w:val="22"/>
        </w:rPr>
        <w:t>以加权距离构造诗篇相似度。维度权重wₖ在主模型中冻结，并通过等权、重采样和删维检验评估稳健性。</w:t>
      </w:r>
    </w:p>
    <w:p>
      <w:pPr>
        <w:pStyle w:val="Equation"/>
        <w:widowControl/>
      </w:pPr>
      <w:r>
        <w:rPr>
          <w:rFonts w:ascii="Cambria Math" w:hAnsi="Cambria Math" w:eastAsia="Noto Serif SC"/>
          <w:sz w:val="21"/>
        </w:rPr>
        <w:t>d(i,j)=√[Σₖ wₖvᵢₖvⱼₖ(xᵢₖ−xⱼₖ)² / Σₖ wₖvᵢₖvⱼₖ]</w:t>
      </w:r>
    </w:p>
    <w:p>
      <w:pPr>
        <w:pStyle w:val="Equation"/>
        <w:widowControl/>
      </w:pPr>
      <w:r>
        <w:rPr>
          <w:rFonts w:ascii="Cambria Math" w:hAnsi="Cambria Math" w:eastAsia="Noto Serif SC"/>
          <w:sz w:val="21"/>
        </w:rPr>
        <w:t>Wᵢⱼ = exp(−d(i,j)²/2σ²) · 𝟙[d(i,j)≤ε]</w:t>
      </w:r>
    </w:p>
    <w:p>
      <w:pPr>
        <w:widowControl/>
      </w:pPr>
      <w:r>
        <w:rPr>
          <w:rFonts w:ascii="Times New Roman" w:hAnsi="Times New Roman" w:eastAsia="Noto Serif SC"/>
          <w:sz w:val="22"/>
        </w:rPr>
        <w:t>在加权网络W上执行无监督共同体发现，优化模块度Q。传统“风雅颂”标签不参与建网和聚类，只在聚类完成后以标准化互信息NMI衡量一致程度。跨部类边比例用于判断网络是否突破编辑分类。</w:t>
      </w:r>
    </w:p>
    <w:p>
      <w:pPr>
        <w:pStyle w:val="Heading2"/>
        <w:widowControl/>
      </w:pPr>
      <w:r>
        <w:t>（四）反自证设计与负向控制</w:t>
      </w:r>
    </w:p>
    <w:p>
      <w:pPr>
        <w:widowControl/>
      </w:pPr>
      <w:r>
        <w:rPr>
          <w:rFonts w:ascii="Times New Roman" w:hAnsi="Times New Roman" w:eastAsia="Noto Serif SC"/>
          <w:sz w:val="22"/>
        </w:rPr>
        <w:t>为了防止模型把研究者的解释偏好重新发现为“客观结构”，本文设置四类反自证程序：（1）标签置乱：随机置换“风雅颂”及候选历史标签；（2）表示替换：在八维编码、文本嵌入、关键词遮蔽和删维网络之间比较结果；（3）复杂度匹配：以同样节点数、边密度或状态数的随机模型作为对照；（4）预设失败条件：如果核心共同体在删去仪式或祖先维度后立即消失，或《周易》映射不优于复杂度匹配的伪模型，则相应强命题不成立。随机流程固定种子20260817，并分别记录Python、NumPy及机器学习组件的随机流，以降低平台差异造成的不可复现。</w:t>
      </w:r>
    </w:p>
    <w:p>
      <w:pPr>
        <w:pStyle w:val="Heading1"/>
        <w:widowControl/>
      </w:pPr>
      <w:r>
        <w:t>四、结果：跨越“风雅颂”的社会功能网络</w:t>
      </w:r>
    </w:p>
    <w:p>
      <w:pPr>
        <w:pStyle w:val="Heading2"/>
        <w:widowControl/>
      </w:pPr>
      <w:r>
        <w:t>（一）四个跨部类共同体</w:t>
      </w:r>
    </w:p>
    <w:p>
      <w:pPr>
        <w:widowControl/>
      </w:pPr>
      <w:r>
        <w:rPr>
          <w:rFonts w:ascii="Times New Roman" w:hAnsi="Times New Roman" w:eastAsia="Noto Serif SC"/>
          <w:sz w:val="22"/>
        </w:rPr>
        <w:t>主网络得到四个稳定的跨部类共同体。它们不能被简单等同为四种题材，而应理解为四类状态配置与行动机制：关系形成与交换、压力与离散、权威与制度化、仪式与恢复。共同体内部既包含“风”，也包含“雅”“颂”，显示传统部类与社会功能之间不是一一对应关系。</w:t>
      </w:r>
    </w:p>
    <w:tbl>
      <w:tblPr>
        <w:tblW w:type="dxa" w:w="9360"/>
        <w:jc w:val="center"/>
        <w:tblLayout w:type="fixed"/>
        <w:tblLook w:firstColumn="1" w:firstRow="1" w:lastColumn="0" w:lastRow="0" w:noHBand="0" w:noVBand="1" w:val="04A0"/>
        <w:tblInd w:w="120" w:type="dxa"/>
      </w:tblPr>
      <w:tblGrid>
        <w:gridCol w:w="1655"/>
        <w:gridCol w:w="1800"/>
        <w:gridCol w:w="5903"/>
      </w:tblGrid>
      <w:tr>
        <w:tc>
          <w:tcPr>
            <w:tcW w:type="dxa" w:w="1655"/>
            <w:shd w:fill="E8EEF5"/>
            <w:vAlign w:val="center"/>
            <w:tcMar>
              <w:top w:w="90" w:type="dxa"/>
              <w:start w:w="120" w:type="dxa"/>
              <w:bottom w:w="90" w:type="dxa"/>
              <w:end w:w="120" w:type="dxa"/>
            </w:tcMar>
          </w:tcPr>
          <w:p>
            <w:pPr>
              <w:spacing w:after="0"/>
              <w:ind w:firstLine="0"/>
              <w:jc w:val="center"/>
            </w:pPr>
            <w:r>
              <w:rPr>
                <w:rFonts w:ascii="Times New Roman" w:hAnsi="Times New Roman" w:eastAsia="Noto Sans CJK SC"/>
                <w:b/>
                <w:sz w:val="19"/>
              </w:rPr>
              <w:t>指标</w:t>
            </w:r>
          </w:p>
        </w:tc>
        <w:tc>
          <w:tcPr>
            <w:tcW w:type="dxa" w:w="1800"/>
            <w:shd w:fill="E8EEF5"/>
            <w:vAlign w:val="center"/>
            <w:tcMar>
              <w:top w:w="90" w:type="dxa"/>
              <w:start w:w="120" w:type="dxa"/>
              <w:bottom w:w="90" w:type="dxa"/>
              <w:end w:w="120" w:type="dxa"/>
            </w:tcMar>
          </w:tcPr>
          <w:p>
            <w:pPr>
              <w:spacing w:after="0"/>
              <w:ind w:firstLine="0"/>
              <w:jc w:val="center"/>
            </w:pPr>
            <w:r>
              <w:rPr>
                <w:rFonts w:ascii="Times New Roman" w:hAnsi="Times New Roman" w:eastAsia="Noto Sans CJK SC"/>
                <w:b/>
                <w:sz w:val="19"/>
              </w:rPr>
              <w:t>结果</w:t>
            </w:r>
          </w:p>
        </w:tc>
        <w:tc>
          <w:tcPr>
            <w:tcW w:type="dxa" w:w="5903"/>
            <w:shd w:fill="E8EEF5"/>
            <w:vAlign w:val="center"/>
            <w:tcMar>
              <w:top w:w="90" w:type="dxa"/>
              <w:start w:w="120" w:type="dxa"/>
              <w:bottom w:w="90" w:type="dxa"/>
              <w:end w:w="120" w:type="dxa"/>
            </w:tcMar>
          </w:tcPr>
          <w:p>
            <w:pPr>
              <w:spacing w:after="0"/>
              <w:ind w:firstLine="0"/>
              <w:jc w:val="center"/>
            </w:pPr>
            <w:r>
              <w:rPr>
                <w:rFonts w:ascii="Times New Roman" w:hAnsi="Times New Roman" w:eastAsia="Noto Sans CJK SC"/>
                <w:b/>
                <w:sz w:val="19"/>
              </w:rPr>
              <w:t>解释边界</w:t>
            </w:r>
          </w:p>
        </w:tc>
      </w:tr>
      <w:tr>
        <w:tc>
          <w:tcPr>
            <w:tcW w:type="dxa" w:w="1655"/>
            <w:vAlign w:val="center"/>
            <w:tcMar>
              <w:top w:w="90" w:type="dxa"/>
              <w:start w:w="120" w:type="dxa"/>
              <w:bottom w:w="90" w:type="dxa"/>
              <w:end w:w="120" w:type="dxa"/>
            </w:tcMar>
          </w:tcPr>
          <w:p>
            <w:pPr>
              <w:spacing w:after="0" w:line="276" w:lineRule="auto"/>
              <w:ind w:firstLine="0"/>
              <w:jc w:val="center"/>
            </w:pPr>
            <w:r>
              <w:rPr>
                <w:rFonts w:ascii="Times New Roman" w:hAnsi="Times New Roman" w:eastAsia="Noto Serif SC"/>
                <w:sz w:val="18"/>
              </w:rPr>
              <w:t>模块度 Q</w:t>
            </w:r>
          </w:p>
        </w:tc>
        <w:tc>
          <w:tcPr>
            <w:tcW w:type="dxa" w:w="1800"/>
            <w:vAlign w:val="center"/>
            <w:tcMar>
              <w:top w:w="90" w:type="dxa"/>
              <w:start w:w="120" w:type="dxa"/>
              <w:bottom w:w="90" w:type="dxa"/>
              <w:end w:w="120" w:type="dxa"/>
            </w:tcMar>
          </w:tcPr>
          <w:p>
            <w:pPr>
              <w:spacing w:after="0" w:line="276" w:lineRule="auto"/>
              <w:ind w:firstLine="0"/>
              <w:jc w:val="center"/>
            </w:pPr>
            <w:r>
              <w:rPr>
                <w:rFonts w:ascii="Times New Roman" w:hAnsi="Times New Roman" w:eastAsia="Noto Serif SC"/>
                <w:sz w:val="18"/>
              </w:rPr>
              <w:t>0.4373</w:t>
            </w:r>
          </w:p>
        </w:tc>
        <w:tc>
          <w:tcPr>
            <w:tcW w:type="dxa" w:w="5903"/>
            <w:vAlign w:val="center"/>
            <w:tcMar>
              <w:top w:w="90" w:type="dxa"/>
              <w:start w:w="120" w:type="dxa"/>
              <w:bottom w:w="90" w:type="dxa"/>
              <w:end w:w="120" w:type="dxa"/>
            </w:tcMar>
          </w:tcPr>
          <w:p>
            <w:pPr>
              <w:spacing w:after="0" w:line="276" w:lineRule="auto"/>
              <w:ind w:firstLine="0"/>
              <w:jc w:val="left"/>
            </w:pPr>
            <w:r>
              <w:rPr>
                <w:rFonts w:ascii="Times New Roman" w:hAnsi="Times New Roman" w:eastAsia="Noto Serif SC"/>
                <w:sz w:val="18"/>
              </w:rPr>
              <w:t>网络存在中等偏强的内部共同体结构</w:t>
            </w:r>
          </w:p>
        </w:tc>
      </w:tr>
      <w:tr>
        <w:tc>
          <w:tcPr>
            <w:tcW w:type="dxa" w:w="1655"/>
            <w:vAlign w:val="center"/>
            <w:tcMar>
              <w:top w:w="90" w:type="dxa"/>
              <w:start w:w="120" w:type="dxa"/>
              <w:bottom w:w="90" w:type="dxa"/>
              <w:end w:w="120" w:type="dxa"/>
            </w:tcMar>
          </w:tcPr>
          <w:p>
            <w:pPr>
              <w:spacing w:after="0" w:line="276" w:lineRule="auto"/>
              <w:ind w:firstLine="0"/>
              <w:jc w:val="center"/>
            </w:pPr>
            <w:r>
              <w:rPr>
                <w:rFonts w:ascii="Times New Roman" w:hAnsi="Times New Roman" w:eastAsia="Noto Serif SC"/>
                <w:sz w:val="18"/>
              </w:rPr>
              <w:t>与风雅颂的NMI</w:t>
            </w:r>
          </w:p>
        </w:tc>
        <w:tc>
          <w:tcPr>
            <w:tcW w:type="dxa" w:w="1800"/>
            <w:vAlign w:val="center"/>
            <w:tcMar>
              <w:top w:w="90" w:type="dxa"/>
              <w:start w:w="120" w:type="dxa"/>
              <w:bottom w:w="90" w:type="dxa"/>
              <w:end w:w="120" w:type="dxa"/>
            </w:tcMar>
          </w:tcPr>
          <w:p>
            <w:pPr>
              <w:spacing w:after="0" w:line="276" w:lineRule="auto"/>
              <w:ind w:firstLine="0"/>
              <w:jc w:val="center"/>
            </w:pPr>
            <w:r>
              <w:rPr>
                <w:rFonts w:ascii="Times New Roman" w:hAnsi="Times New Roman" w:eastAsia="Noto Serif SC"/>
                <w:sz w:val="18"/>
              </w:rPr>
              <w:t>0.0580</w:t>
            </w:r>
          </w:p>
        </w:tc>
        <w:tc>
          <w:tcPr>
            <w:tcW w:type="dxa" w:w="5903"/>
            <w:vAlign w:val="center"/>
            <w:tcMar>
              <w:top w:w="90" w:type="dxa"/>
              <w:start w:w="120" w:type="dxa"/>
              <w:bottom w:w="90" w:type="dxa"/>
              <w:end w:w="120" w:type="dxa"/>
            </w:tcMar>
          </w:tcPr>
          <w:p>
            <w:pPr>
              <w:spacing w:after="0" w:line="276" w:lineRule="auto"/>
              <w:ind w:firstLine="0"/>
              <w:jc w:val="left"/>
            </w:pPr>
            <w:r>
              <w:rPr>
                <w:rFonts w:ascii="Times New Roman" w:hAnsi="Times New Roman" w:eastAsia="Noto Serif SC"/>
                <w:sz w:val="18"/>
              </w:rPr>
              <w:t>新共同体几乎不能由传统部类直接预测</w:t>
            </w:r>
          </w:p>
        </w:tc>
      </w:tr>
      <w:tr>
        <w:tc>
          <w:tcPr>
            <w:tcW w:type="dxa" w:w="1655"/>
            <w:vAlign w:val="center"/>
            <w:tcMar>
              <w:top w:w="90" w:type="dxa"/>
              <w:start w:w="120" w:type="dxa"/>
              <w:bottom w:w="90" w:type="dxa"/>
              <w:end w:w="120" w:type="dxa"/>
            </w:tcMar>
          </w:tcPr>
          <w:p>
            <w:pPr>
              <w:spacing w:after="0" w:line="276" w:lineRule="auto"/>
              <w:ind w:firstLine="0"/>
              <w:jc w:val="center"/>
            </w:pPr>
            <w:r>
              <w:rPr>
                <w:rFonts w:ascii="Times New Roman" w:hAnsi="Times New Roman" w:eastAsia="Noto Serif SC"/>
                <w:sz w:val="18"/>
              </w:rPr>
              <w:t>跨部类有效边</w:t>
            </w:r>
          </w:p>
        </w:tc>
        <w:tc>
          <w:tcPr>
            <w:tcW w:type="dxa" w:w="1800"/>
            <w:vAlign w:val="center"/>
            <w:tcMar>
              <w:top w:w="90" w:type="dxa"/>
              <w:start w:w="120" w:type="dxa"/>
              <w:bottom w:w="90" w:type="dxa"/>
              <w:end w:w="120" w:type="dxa"/>
            </w:tcMar>
          </w:tcPr>
          <w:p>
            <w:pPr>
              <w:spacing w:after="0" w:line="276" w:lineRule="auto"/>
              <w:ind w:firstLine="0"/>
              <w:jc w:val="center"/>
            </w:pPr>
            <w:r>
              <w:rPr>
                <w:rFonts w:ascii="Times New Roman" w:hAnsi="Times New Roman" w:eastAsia="Noto Serif SC"/>
                <w:sz w:val="18"/>
              </w:rPr>
              <w:t>54.36%</w:t>
            </w:r>
          </w:p>
        </w:tc>
        <w:tc>
          <w:tcPr>
            <w:tcW w:type="dxa" w:w="5903"/>
            <w:vAlign w:val="center"/>
            <w:tcMar>
              <w:top w:w="90" w:type="dxa"/>
              <w:start w:w="120" w:type="dxa"/>
              <w:bottom w:w="90" w:type="dxa"/>
              <w:end w:w="120" w:type="dxa"/>
            </w:tcMar>
          </w:tcPr>
          <w:p>
            <w:pPr>
              <w:spacing w:after="0" w:line="276" w:lineRule="auto"/>
              <w:ind w:firstLine="0"/>
              <w:jc w:val="left"/>
            </w:pPr>
            <w:r>
              <w:rPr>
                <w:rFonts w:ascii="Times New Roman" w:hAnsi="Times New Roman" w:eastAsia="Noto Serif SC"/>
                <w:sz w:val="18"/>
              </w:rPr>
              <w:t>超过一半结构联系跨越风、雅、颂</w:t>
            </w:r>
          </w:p>
        </w:tc>
      </w:tr>
      <w:tr>
        <w:tc>
          <w:tcPr>
            <w:tcW w:type="dxa" w:w="1655"/>
            <w:vAlign w:val="center"/>
            <w:tcMar>
              <w:top w:w="90" w:type="dxa"/>
              <w:start w:w="120" w:type="dxa"/>
              <w:bottom w:w="90" w:type="dxa"/>
              <w:end w:w="120" w:type="dxa"/>
            </w:tcMar>
          </w:tcPr>
          <w:p>
            <w:pPr>
              <w:spacing w:after="0" w:line="276" w:lineRule="auto"/>
              <w:ind w:firstLine="0"/>
              <w:jc w:val="center"/>
            </w:pPr>
            <w:r>
              <w:rPr>
                <w:rFonts w:ascii="Times New Roman" w:hAnsi="Times New Roman" w:eastAsia="Noto Serif SC"/>
                <w:sz w:val="18"/>
              </w:rPr>
              <w:t>节点口径</w:t>
            </w:r>
          </w:p>
        </w:tc>
        <w:tc>
          <w:tcPr>
            <w:tcW w:type="dxa" w:w="1800"/>
            <w:vAlign w:val="center"/>
            <w:tcMar>
              <w:top w:w="90" w:type="dxa"/>
              <w:start w:w="120" w:type="dxa"/>
              <w:bottom w:w="90" w:type="dxa"/>
              <w:end w:w="120" w:type="dxa"/>
            </w:tcMar>
          </w:tcPr>
          <w:p>
            <w:pPr>
              <w:spacing w:after="0" w:line="276" w:lineRule="auto"/>
              <w:ind w:firstLine="0"/>
              <w:jc w:val="center"/>
            </w:pPr>
            <w:r>
              <w:rPr>
                <w:rFonts w:ascii="Times New Roman" w:hAnsi="Times New Roman" w:eastAsia="Noto Serif SC"/>
                <w:sz w:val="18"/>
              </w:rPr>
              <w:t>305+6</w:t>
            </w:r>
          </w:p>
        </w:tc>
        <w:tc>
          <w:tcPr>
            <w:tcW w:type="dxa" w:w="5903"/>
            <w:vAlign w:val="center"/>
            <w:tcMar>
              <w:top w:w="90" w:type="dxa"/>
              <w:start w:w="120" w:type="dxa"/>
              <w:bottom w:w="90" w:type="dxa"/>
              <w:end w:w="120" w:type="dxa"/>
            </w:tcMar>
          </w:tcPr>
          <w:p>
            <w:pPr>
              <w:spacing w:after="0" w:line="276" w:lineRule="auto"/>
              <w:ind w:firstLine="0"/>
              <w:jc w:val="left"/>
            </w:pPr>
            <w:r>
              <w:rPr>
                <w:rFonts w:ascii="Times New Roman" w:hAnsi="Times New Roman" w:eastAsia="Noto Serif SC"/>
                <w:sz w:val="18"/>
              </w:rPr>
              <w:t>305篇参与语义计算；6篇作为缺失节点保留</w:t>
            </w:r>
          </w:p>
        </w:tc>
      </w:tr>
      <w:tr>
        <w:tc>
          <w:tcPr>
            <w:tcW w:type="dxa" w:w="1655"/>
            <w:vAlign w:val="center"/>
            <w:tcMar>
              <w:top w:w="90" w:type="dxa"/>
              <w:start w:w="120" w:type="dxa"/>
              <w:bottom w:w="90" w:type="dxa"/>
              <w:end w:w="120" w:type="dxa"/>
            </w:tcMar>
          </w:tcPr>
          <w:p>
            <w:pPr>
              <w:spacing w:after="0" w:line="276" w:lineRule="auto"/>
              <w:ind w:firstLine="0"/>
              <w:jc w:val="center"/>
            </w:pPr>
            <w:r>
              <w:rPr>
                <w:rFonts w:ascii="Times New Roman" w:hAnsi="Times New Roman" w:eastAsia="Noto Serif SC"/>
                <w:sz w:val="18"/>
              </w:rPr>
              <w:t>章级路径</w:t>
            </w:r>
          </w:p>
        </w:tc>
        <w:tc>
          <w:tcPr>
            <w:tcW w:type="dxa" w:w="1800"/>
            <w:vAlign w:val="center"/>
            <w:tcMar>
              <w:top w:w="90" w:type="dxa"/>
              <w:start w:w="120" w:type="dxa"/>
              <w:bottom w:w="90" w:type="dxa"/>
              <w:end w:w="120" w:type="dxa"/>
            </w:tcMar>
          </w:tcPr>
          <w:p>
            <w:pPr>
              <w:spacing w:after="0" w:line="276" w:lineRule="auto"/>
              <w:ind w:firstLine="0"/>
              <w:jc w:val="center"/>
            </w:pPr>
            <w:r>
              <w:rPr>
                <w:rFonts w:ascii="Times New Roman" w:hAnsi="Times New Roman" w:eastAsia="Noto Serif SC"/>
                <w:sz w:val="18"/>
              </w:rPr>
              <w:t>1319</w:t>
            </w:r>
          </w:p>
        </w:tc>
        <w:tc>
          <w:tcPr>
            <w:tcW w:type="dxa" w:w="5903"/>
            <w:vAlign w:val="center"/>
            <w:tcMar>
              <w:top w:w="90" w:type="dxa"/>
              <w:start w:w="120" w:type="dxa"/>
              <w:bottom w:w="90" w:type="dxa"/>
              <w:end w:w="120" w:type="dxa"/>
            </w:tcMar>
          </w:tcPr>
          <w:p>
            <w:pPr>
              <w:spacing w:after="0" w:line="276" w:lineRule="auto"/>
              <w:ind w:firstLine="0"/>
              <w:jc w:val="left"/>
            </w:pPr>
            <w:r>
              <w:rPr>
                <w:rFonts w:ascii="Times New Roman" w:hAnsi="Times New Roman" w:eastAsia="Noto Serif SC"/>
                <w:sz w:val="18"/>
              </w:rPr>
              <w:t>用于辨认危机、行动、后果与恢复过程</w:t>
            </w:r>
          </w:p>
        </w:tc>
      </w:tr>
    </w:tbl>
    <w:p>
      <w:pPr>
        <w:widowControl/>
      </w:pPr>
      <w:r>
        <w:rPr>
          <w:rFonts w:ascii="Times New Roman" w:hAnsi="Times New Roman" w:eastAsia="Noto Serif SC"/>
          <w:sz w:val="22"/>
        </w:rPr>
        <w:t>Q值说明结构不是随机散布；极低NMI则说明该结构并非“风雅颂”的同义重写。两者必须联合解释：仅有较高Q不能说明历史意义，仅有较低NMI也不能证明传统分类无效。本文的结论是，编辑—音乐分类与社会状态网络描写了同一文本集合的不同结构层，而非前者被后者取消。</w:t>
      </w:r>
    </w:p>
    <w:p>
      <w:pPr>
        <w:pStyle w:val="Heading2"/>
        <w:widowControl/>
      </w:pPr>
      <w:r>
        <w:t>（二）“仪式—祖先—合法性—恢复”核心</w:t>
      </w:r>
    </w:p>
    <w:p>
      <w:pPr>
        <w:widowControl/>
      </w:pPr>
      <w:r>
        <w:rPr>
          <w:rFonts w:ascii="Times New Roman" w:hAnsi="Times New Roman" w:eastAsia="Noto Serif SC"/>
          <w:sz w:val="22"/>
        </w:rPr>
        <w:t>四个共同体中最具跨表示稳定性的，是仪式、祖先、权威合法性与危机恢复之间的耦合。传统礼制研究常把仪式理解为既存秩序的表达；本研究进一步发现，仪式在网络中还承担把分散行动者重新绑定、把资源消耗转换为公共承诺、把祖先记忆转换为合法性、把危机叙事转换为可继续行动的机制。换言之，仪式不是秩序的静态装饰，而是秩序失稳时的一种社会操作。</w:t>
      </w:r>
    </w:p>
    <w:p>
      <w:pPr>
        <w:widowControl/>
      </w:pPr>
      <w:r>
        <w:rPr>
          <w:rFonts w:ascii="Times New Roman" w:hAnsi="Times New Roman" w:eastAsia="Noto Serif SC"/>
          <w:sz w:val="22"/>
        </w:rPr>
        <w:t>这一发现并不意味着所有祭祀诗都能恢复危机，也不意味着没有仪式就不存在恢复。更准确的说法是：在《诗经》的证据可见范围内，仪式与祖先语汇更频繁地出现在合法性重申、共同体再整合和跨代连续性的路径上；当它们与资源供给、角色承认和可执行行动共同出现时，恢复概率与结构中心性同时上升。</w:t>
      </w:r>
    </w:p>
    <w:p>
      <w:pPr>
        <w:pStyle w:val="Heading2"/>
        <w:widowControl/>
      </w:pPr>
      <w:r>
        <w:t>（三）证据可见性与沉默结构</w:t>
      </w:r>
    </w:p>
    <w:p>
      <w:pPr>
        <w:widowControl/>
      </w:pPr>
      <w:r>
        <w:rPr>
          <w:rFonts w:ascii="Times New Roman" w:hAnsi="Times New Roman" w:eastAsia="Noto Serif SC"/>
          <w:sz w:val="22"/>
        </w:rPr>
        <w:t>不同部类对社会要素的可见性并不相同。“国风”更容易呈现个体关系、劳动、离散和地方性压力；“雅”更容易显露权威、政治责任与制度失衡；“颂”则集中表达祖先、仪式与合法性。但可见性差异不能被直接解释为现实分布差异。例如，“颂”对民生压力的低可见性，不足以说明相关社会不存在匮乏；它更可能说明仪式文本对压力进行了选择性吸收、转换或遮蔽。由此，文本沉默本身进入模型：不再把未言说的对象机械编码为不存在。</w:t>
      </w:r>
    </w:p>
    <w:p>
      <w:pPr>
        <w:pStyle w:val="Heading1"/>
        <w:widowControl/>
      </w:pPr>
      <w:r>
        <w:t>五、《周易》作为竞争性比较模型</w:t>
      </w:r>
    </w:p>
    <w:p>
      <w:pPr>
        <w:pStyle w:val="Heading2"/>
        <w:widowControl/>
      </w:pPr>
      <w:r>
        <w:t>（一）为何必须后置《周易》</w:t>
      </w:r>
    </w:p>
    <w:p>
      <w:pPr>
        <w:widowControl/>
      </w:pPr>
      <w:r>
        <w:rPr>
          <w:rFonts w:ascii="Times New Roman" w:hAnsi="Times New Roman" w:eastAsia="Noto Serif SC"/>
          <w:sz w:val="22"/>
        </w:rPr>
        <w:t>《诗经》与《周易》同处早期中国经典世界，二者都高度关注处境、行动、秩序与后果，因而具有比较价值。但“可以互释”与“存在生成关系”之间相隔多个证据层级。若先用六十四卦为诗篇分类，任何文本都可能被吸纳进足够宽泛的卦义；这种可读性不能构成特异性证据。因此，本研究在《诗经》独立网络冻结以后，才把《周易》引入为外部比较语法。</w:t>
      </w:r>
    </w:p>
    <w:p>
      <w:pPr>
        <w:pStyle w:val="Heading2"/>
        <w:widowControl/>
      </w:pPr>
      <w:r>
        <w:t>（二）卦爻状态与4096卦变空间</w:t>
      </w:r>
    </w:p>
    <w:p>
      <w:pPr>
        <w:widowControl/>
      </w:pPr>
      <w:r>
        <w:rPr>
          <w:rFonts w:ascii="Times New Roman" w:hAnsi="Times New Roman" w:eastAsia="Noto Serif SC"/>
          <w:sz w:val="22"/>
        </w:rPr>
        <w:t>每一卦被编码为六爻二值结构q∈{0,1}⁶，并附加卦辞、爻辞所表达的处境、位置、行动许可、风险和后果维度。六十四卦之间构成4096个有向候选转移。该空间并不等于历史中真实发生的4096种变化，而是用于比较“何种状态变化在《周易》语法中可被表达”。</w:t>
      </w:r>
    </w:p>
    <w:p>
      <w:pPr>
        <w:pStyle w:val="Equation"/>
        <w:widowControl/>
      </w:pPr>
      <w:r>
        <w:rPr>
          <w:rFonts w:ascii="Cambria Math" w:hAnsi="Cambria Math" w:eastAsia="Noto Serif SC"/>
          <w:sz w:val="21"/>
        </w:rPr>
        <w:t>Q₆ = ({0,1}⁶, E)；　E = {(q,q′) | Hamming(q,q′)=1}</w:t>
      </w:r>
    </w:p>
    <w:p>
      <w:pPr>
        <w:widowControl/>
      </w:pPr>
      <w:r>
        <w:rPr>
          <w:rFonts w:ascii="Times New Roman" w:hAnsi="Times New Roman" w:eastAsia="Noto Serif SC"/>
          <w:sz w:val="22"/>
        </w:rPr>
        <w:t>超立方体Q₆只是一个候选拓扑。为了判断它是否具有特殊解释力，本文将其与节点数、度分布、路径长度或边密度相近的置换拓扑和随机拓扑比较。若真实卦序或Q₆并未显著优于替代结构，就不能声称六爻拓扑构成《诗经》网络的隐藏骨架。</w:t>
      </w:r>
    </w:p>
    <w:p>
      <w:pPr>
        <w:pStyle w:val="Heading2"/>
        <w:widowControl/>
      </w:pPr>
      <w:r>
        <w:t>（三）五组竞争性检验及其结果</w:t>
      </w:r>
    </w:p>
    <w:tbl>
      <w:tblPr>
        <w:tblW w:type="dxa" w:w="9360"/>
        <w:jc w:val="center"/>
        <w:tblLayout w:type="fixed"/>
        <w:tblLook w:firstColumn="1" w:firstRow="1" w:lastColumn="0" w:lastRow="0" w:noHBand="0" w:noVBand="1" w:val="04A0"/>
        <w:tblInd w:w="120" w:type="dxa"/>
      </w:tblPr>
      <w:tblGrid>
        <w:gridCol w:w="2088"/>
        <w:gridCol w:w="2088"/>
        <w:gridCol w:w="5184"/>
      </w:tblGrid>
      <w:tr>
        <w:tc>
          <w:tcPr>
            <w:tcW w:type="dxa" w:w="2088"/>
            <w:shd w:fill="E8EEF5"/>
            <w:vAlign w:val="center"/>
            <w:tcMar>
              <w:top w:w="90" w:type="dxa"/>
              <w:start w:w="120" w:type="dxa"/>
              <w:bottom w:w="90" w:type="dxa"/>
              <w:end w:w="120" w:type="dxa"/>
            </w:tcMar>
          </w:tcPr>
          <w:p>
            <w:pPr>
              <w:spacing w:after="0"/>
              <w:ind w:firstLine="0"/>
              <w:jc w:val="center"/>
            </w:pPr>
            <w:r>
              <w:rPr>
                <w:rFonts w:ascii="Times New Roman" w:hAnsi="Times New Roman" w:eastAsia="Noto Sans CJK SC"/>
                <w:b/>
                <w:sz w:val="19"/>
              </w:rPr>
              <w:t>检验</w:t>
            </w:r>
          </w:p>
        </w:tc>
        <w:tc>
          <w:tcPr>
            <w:tcW w:type="dxa" w:w="2088"/>
            <w:shd w:fill="E8EEF5"/>
            <w:vAlign w:val="center"/>
            <w:tcMar>
              <w:top w:w="90" w:type="dxa"/>
              <w:start w:w="120" w:type="dxa"/>
              <w:bottom w:w="90" w:type="dxa"/>
              <w:end w:w="120" w:type="dxa"/>
            </w:tcMar>
          </w:tcPr>
          <w:p>
            <w:pPr>
              <w:spacing w:after="0"/>
              <w:ind w:firstLine="0"/>
              <w:jc w:val="center"/>
            </w:pPr>
            <w:r>
              <w:rPr>
                <w:rFonts w:ascii="Times New Roman" w:hAnsi="Times New Roman" w:eastAsia="Noto Sans CJK SC"/>
                <w:b/>
                <w:sz w:val="19"/>
              </w:rPr>
              <w:t>结果</w:t>
            </w:r>
          </w:p>
        </w:tc>
        <w:tc>
          <w:tcPr>
            <w:tcW w:type="dxa" w:w="5184"/>
            <w:shd w:fill="E8EEF5"/>
            <w:vAlign w:val="center"/>
            <w:tcMar>
              <w:top w:w="90" w:type="dxa"/>
              <w:start w:w="120" w:type="dxa"/>
              <w:bottom w:w="90" w:type="dxa"/>
              <w:end w:w="120" w:type="dxa"/>
            </w:tcMar>
          </w:tcPr>
          <w:p>
            <w:pPr>
              <w:spacing w:after="0"/>
              <w:ind w:firstLine="0"/>
              <w:jc w:val="center"/>
            </w:pPr>
            <w:r>
              <w:rPr>
                <w:rFonts w:ascii="Times New Roman" w:hAnsi="Times New Roman" w:eastAsia="Noto Sans CJK SC"/>
                <w:b/>
                <w:sz w:val="19"/>
              </w:rPr>
              <w:t>可接受结论</w:t>
            </w:r>
          </w:p>
        </w:tc>
      </w:tr>
      <w:tr>
        <w:tc>
          <w:tcPr>
            <w:tcW w:type="dxa" w:w="2088"/>
            <w:vAlign w:val="center"/>
            <w:tcMar>
              <w:top w:w="90" w:type="dxa"/>
              <w:start w:w="120" w:type="dxa"/>
              <w:bottom w:w="90" w:type="dxa"/>
              <w:end w:w="120" w:type="dxa"/>
            </w:tcMar>
          </w:tcPr>
          <w:p>
            <w:pPr>
              <w:spacing w:after="0" w:line="276" w:lineRule="auto"/>
              <w:ind w:firstLine="0"/>
              <w:jc w:val="center"/>
            </w:pPr>
            <w:r>
              <w:rPr>
                <w:rFonts w:ascii="Times New Roman" w:hAnsi="Times New Roman" w:eastAsia="Noto Serif SC"/>
                <w:sz w:val="18"/>
              </w:rPr>
              <w:t>局部语义映射</w:t>
            </w:r>
          </w:p>
        </w:tc>
        <w:tc>
          <w:tcPr>
            <w:tcW w:type="dxa" w:w="2088"/>
            <w:vAlign w:val="center"/>
            <w:tcMar>
              <w:top w:w="90" w:type="dxa"/>
              <w:start w:w="120" w:type="dxa"/>
              <w:bottom w:w="90" w:type="dxa"/>
              <w:end w:w="120" w:type="dxa"/>
            </w:tcMar>
          </w:tcPr>
          <w:p>
            <w:pPr>
              <w:spacing w:after="0" w:line="276" w:lineRule="auto"/>
              <w:ind w:firstLine="0"/>
              <w:jc w:val="center"/>
            </w:pPr>
            <w:r>
              <w:rPr>
                <w:rFonts w:ascii="Times New Roman" w:hAnsi="Times New Roman" w:eastAsia="Noto Serif SC"/>
                <w:sz w:val="18"/>
              </w:rPr>
              <w:t>部分成立</w:t>
            </w:r>
          </w:p>
        </w:tc>
        <w:tc>
          <w:tcPr>
            <w:tcW w:type="dxa" w:w="5184"/>
            <w:vAlign w:val="center"/>
            <w:tcMar>
              <w:top w:w="90" w:type="dxa"/>
              <w:start w:w="120" w:type="dxa"/>
              <w:bottom w:w="90" w:type="dxa"/>
              <w:end w:w="120" w:type="dxa"/>
            </w:tcMar>
          </w:tcPr>
          <w:p>
            <w:pPr>
              <w:spacing w:after="0" w:line="276" w:lineRule="auto"/>
              <w:ind w:firstLine="0"/>
              <w:jc w:val="left"/>
            </w:pPr>
            <w:r>
              <w:rPr>
                <w:rFonts w:ascii="Times New Roman" w:hAnsi="Times New Roman" w:eastAsia="Noto Serif SC"/>
                <w:sz w:val="18"/>
              </w:rPr>
              <w:t>卦爻可辅助描述处境、行动与后果</w:t>
            </w:r>
          </w:p>
        </w:tc>
      </w:tr>
      <w:tr>
        <w:tc>
          <w:tcPr>
            <w:tcW w:type="dxa" w:w="2088"/>
            <w:vAlign w:val="center"/>
            <w:tcMar>
              <w:top w:w="90" w:type="dxa"/>
              <w:start w:w="120" w:type="dxa"/>
              <w:bottom w:w="90" w:type="dxa"/>
              <w:end w:w="120" w:type="dxa"/>
            </w:tcMar>
          </w:tcPr>
          <w:p>
            <w:pPr>
              <w:spacing w:after="0" w:line="276" w:lineRule="auto"/>
              <w:ind w:firstLine="0"/>
              <w:jc w:val="center"/>
            </w:pPr>
            <w:r>
              <w:rPr>
                <w:rFonts w:ascii="Times New Roman" w:hAnsi="Times New Roman" w:eastAsia="Noto Serif SC"/>
                <w:sz w:val="18"/>
              </w:rPr>
              <w:t>七相位—七域映射</w:t>
            </w:r>
          </w:p>
        </w:tc>
        <w:tc>
          <w:tcPr>
            <w:tcW w:type="dxa" w:w="2088"/>
            <w:vAlign w:val="center"/>
            <w:tcMar>
              <w:top w:w="90" w:type="dxa"/>
              <w:start w:w="120" w:type="dxa"/>
              <w:bottom w:w="90" w:type="dxa"/>
              <w:end w:w="120" w:type="dxa"/>
            </w:tcMar>
          </w:tcPr>
          <w:p>
            <w:pPr>
              <w:spacing w:after="0" w:line="276" w:lineRule="auto"/>
              <w:ind w:firstLine="0"/>
              <w:jc w:val="center"/>
            </w:pPr>
            <w:r>
              <w:rPr>
                <w:rFonts w:ascii="Times New Roman" w:hAnsi="Times New Roman" w:eastAsia="Noto Serif SC"/>
                <w:sz w:val="18"/>
              </w:rPr>
              <w:t>阴性/不稳定</w:t>
            </w:r>
          </w:p>
        </w:tc>
        <w:tc>
          <w:tcPr>
            <w:tcW w:type="dxa" w:w="5184"/>
            <w:vAlign w:val="center"/>
            <w:tcMar>
              <w:top w:w="90" w:type="dxa"/>
              <w:start w:w="120" w:type="dxa"/>
              <w:bottom w:w="90" w:type="dxa"/>
              <w:end w:w="120" w:type="dxa"/>
            </w:tcMar>
          </w:tcPr>
          <w:p>
            <w:pPr>
              <w:spacing w:after="0" w:line="276" w:lineRule="auto"/>
              <w:ind w:firstLine="0"/>
              <w:jc w:val="center"/>
            </w:pPr>
            <w:r>
              <w:rPr>
                <w:rFonts w:ascii="Times New Roman" w:hAnsi="Times New Roman" w:eastAsia="Noto Serif SC"/>
                <w:sz w:val="18"/>
              </w:rPr>
              <w:t>不支持固定相位决定诗篇结构</w:t>
            </w:r>
          </w:p>
        </w:tc>
      </w:tr>
      <w:tr>
        <w:tc>
          <w:tcPr>
            <w:tcW w:type="dxa" w:w="2088"/>
            <w:vAlign w:val="center"/>
            <w:tcMar>
              <w:top w:w="90" w:type="dxa"/>
              <w:start w:w="120" w:type="dxa"/>
              <w:bottom w:w="90" w:type="dxa"/>
              <w:end w:w="120" w:type="dxa"/>
            </w:tcMar>
          </w:tcPr>
          <w:p>
            <w:pPr>
              <w:spacing w:after="0" w:line="276" w:lineRule="auto"/>
              <w:ind w:firstLine="0"/>
              <w:jc w:val="center"/>
            </w:pPr>
            <w:r>
              <w:rPr>
                <w:rFonts w:ascii="Times New Roman" w:hAnsi="Times New Roman" w:eastAsia="Noto Serif SC"/>
                <w:sz w:val="18"/>
              </w:rPr>
              <w:t>卦序与置换比较</w:t>
            </w:r>
          </w:p>
        </w:tc>
        <w:tc>
          <w:tcPr>
            <w:tcW w:type="dxa" w:w="2088"/>
            <w:vAlign w:val="center"/>
            <w:tcMar>
              <w:top w:w="90" w:type="dxa"/>
              <w:start w:w="120" w:type="dxa"/>
              <w:bottom w:w="90" w:type="dxa"/>
              <w:end w:w="120" w:type="dxa"/>
            </w:tcMar>
          </w:tcPr>
          <w:p>
            <w:pPr>
              <w:spacing w:after="0" w:line="276" w:lineRule="auto"/>
              <w:ind w:firstLine="0"/>
              <w:jc w:val="center"/>
            </w:pPr>
            <w:r>
              <w:rPr>
                <w:rFonts w:ascii="Times New Roman" w:hAnsi="Times New Roman" w:eastAsia="Noto Serif SC"/>
                <w:sz w:val="18"/>
              </w:rPr>
              <w:t>无稳定优势</w:t>
            </w:r>
          </w:p>
        </w:tc>
        <w:tc>
          <w:tcPr>
            <w:tcW w:type="dxa" w:w="5184"/>
            <w:vAlign w:val="center"/>
            <w:tcMar>
              <w:top w:w="90" w:type="dxa"/>
              <w:start w:w="120" w:type="dxa"/>
              <w:bottom w:w="90" w:type="dxa"/>
              <w:end w:w="120" w:type="dxa"/>
            </w:tcMar>
          </w:tcPr>
          <w:p>
            <w:pPr>
              <w:spacing w:after="0" w:line="276" w:lineRule="auto"/>
              <w:ind w:firstLine="0"/>
              <w:jc w:val="center"/>
            </w:pPr>
            <w:r>
              <w:rPr>
                <w:rFonts w:ascii="Times New Roman" w:hAnsi="Times New Roman" w:eastAsia="Noto Serif SC"/>
                <w:sz w:val="18"/>
              </w:rPr>
              <w:t>不支持传世卦序为唯一历史方向</w:t>
            </w:r>
          </w:p>
        </w:tc>
      </w:tr>
      <w:tr>
        <w:tc>
          <w:tcPr>
            <w:tcW w:type="dxa" w:w="2088"/>
            <w:vAlign w:val="center"/>
            <w:tcMar>
              <w:top w:w="90" w:type="dxa"/>
              <w:start w:w="120" w:type="dxa"/>
              <w:bottom w:w="90" w:type="dxa"/>
              <w:end w:w="120" w:type="dxa"/>
            </w:tcMar>
          </w:tcPr>
          <w:p>
            <w:pPr>
              <w:spacing w:after="0" w:line="276" w:lineRule="auto"/>
              <w:ind w:firstLine="0"/>
              <w:jc w:val="center"/>
            </w:pPr>
            <w:r>
              <w:rPr>
                <w:rFonts w:ascii="Times New Roman" w:hAnsi="Times New Roman" w:eastAsia="Noto Serif SC"/>
                <w:sz w:val="18"/>
              </w:rPr>
              <w:t>Q₆与伪拓扑比较</w:t>
            </w:r>
          </w:p>
        </w:tc>
        <w:tc>
          <w:tcPr>
            <w:tcW w:type="dxa" w:w="2088"/>
            <w:vAlign w:val="center"/>
            <w:tcMar>
              <w:top w:w="90" w:type="dxa"/>
              <w:start w:w="120" w:type="dxa"/>
              <w:bottom w:w="90" w:type="dxa"/>
              <w:end w:w="120" w:type="dxa"/>
            </w:tcMar>
          </w:tcPr>
          <w:p>
            <w:pPr>
              <w:spacing w:after="0" w:line="276" w:lineRule="auto"/>
              <w:ind w:firstLine="0"/>
              <w:jc w:val="center"/>
            </w:pPr>
            <w:r>
              <w:rPr>
                <w:rFonts w:ascii="Times New Roman" w:hAnsi="Times New Roman" w:eastAsia="Noto Serif SC"/>
                <w:sz w:val="18"/>
              </w:rPr>
              <w:t>未见特异优势</w:t>
            </w:r>
          </w:p>
        </w:tc>
        <w:tc>
          <w:tcPr>
            <w:tcW w:type="dxa" w:w="5184"/>
            <w:vAlign w:val="center"/>
            <w:tcMar>
              <w:top w:w="90" w:type="dxa"/>
              <w:start w:w="120" w:type="dxa"/>
              <w:bottom w:w="90" w:type="dxa"/>
              <w:end w:w="120" w:type="dxa"/>
            </w:tcMar>
          </w:tcPr>
          <w:p>
            <w:pPr>
              <w:spacing w:after="0" w:line="276" w:lineRule="auto"/>
              <w:ind w:firstLine="0"/>
              <w:jc w:val="left"/>
            </w:pPr>
            <w:r>
              <w:rPr>
                <w:rFonts w:ascii="Times New Roman" w:hAnsi="Times New Roman" w:eastAsia="Noto Serif SC"/>
                <w:sz w:val="18"/>
              </w:rPr>
              <w:t>不支持六维超立方体为隐藏母结构</w:t>
            </w:r>
          </w:p>
        </w:tc>
      </w:tr>
      <w:tr>
        <w:tc>
          <w:tcPr>
            <w:tcW w:type="dxa" w:w="2088"/>
            <w:vAlign w:val="center"/>
            <w:tcMar>
              <w:top w:w="90" w:type="dxa"/>
              <w:start w:w="120" w:type="dxa"/>
              <w:bottom w:w="90" w:type="dxa"/>
              <w:end w:w="120" w:type="dxa"/>
            </w:tcMar>
          </w:tcPr>
          <w:p>
            <w:pPr>
              <w:spacing w:after="0" w:line="276" w:lineRule="auto"/>
              <w:ind w:firstLine="0"/>
              <w:jc w:val="center"/>
            </w:pPr>
            <w:r>
              <w:rPr>
                <w:rFonts w:ascii="Times New Roman" w:hAnsi="Times New Roman" w:eastAsia="Noto Serif SC"/>
                <w:sz w:val="18"/>
              </w:rPr>
              <w:t>无标签跨表示复刻</w:t>
            </w:r>
          </w:p>
        </w:tc>
        <w:tc>
          <w:tcPr>
            <w:tcW w:type="dxa" w:w="2088"/>
            <w:vAlign w:val="center"/>
            <w:tcMar>
              <w:top w:w="90" w:type="dxa"/>
              <w:start w:w="120" w:type="dxa"/>
              <w:bottom w:w="90" w:type="dxa"/>
              <w:end w:w="120" w:type="dxa"/>
            </w:tcMar>
          </w:tcPr>
          <w:p>
            <w:pPr>
              <w:spacing w:after="0" w:line="276" w:lineRule="auto"/>
              <w:ind w:firstLine="0"/>
              <w:jc w:val="center"/>
            </w:pPr>
            <w:r>
              <w:rPr>
                <w:rFonts w:ascii="Times New Roman" w:hAnsi="Times New Roman" w:eastAsia="Noto Serif SC"/>
                <w:sz w:val="18"/>
              </w:rPr>
              <w:t>全局阴性</w:t>
            </w:r>
          </w:p>
        </w:tc>
        <w:tc>
          <w:tcPr>
            <w:tcW w:type="dxa" w:w="5184"/>
            <w:vAlign w:val="center"/>
            <w:tcMar>
              <w:top w:w="90" w:type="dxa"/>
              <w:start w:w="120" w:type="dxa"/>
              <w:bottom w:w="90" w:type="dxa"/>
              <w:end w:w="120" w:type="dxa"/>
            </w:tcMar>
          </w:tcPr>
          <w:p>
            <w:pPr>
              <w:spacing w:after="0" w:line="276" w:lineRule="auto"/>
              <w:ind w:firstLine="0"/>
              <w:jc w:val="left"/>
            </w:pPr>
            <w:r>
              <w:rPr>
                <w:rFonts w:ascii="Times New Roman" w:hAnsi="Times New Roman" w:eastAsia="Noto Serif SC"/>
                <w:sz w:val="18"/>
              </w:rPr>
              <w:t>不支持《诗经》《周易》全局同构</w:t>
            </w:r>
          </w:p>
        </w:tc>
      </w:tr>
    </w:tbl>
    <w:p>
      <w:pPr>
        <w:widowControl/>
      </w:pPr>
      <w:r>
        <w:rPr>
          <w:rFonts w:ascii="Times New Roman" w:hAnsi="Times New Roman" w:eastAsia="Noto Serif SC"/>
          <w:sz w:val="22"/>
        </w:rPr>
        <w:t>这些阴性结果不是研究失败，而是把解释从不可证伪的“万物皆可入卦”缩减为可以承担证据责任的局部命题。《周易》的有效性主要位于三个层面：其一，处境定位，即把行动放入位置、关系和时机之中；其二，位置化行动，即同一行动在不同角色和阶段具有不同后果；其三，后果比较，即把前进、等待、退避、联合、隔离和恢复理解为条件性选择。上述功能能够帮助阅读《诗经》的危机路径，却不足以证明文本之间的直接生成。</w:t>
      </w:r>
    </w:p>
    <w:p>
      <w:pPr>
        <w:pStyle w:val="Heading1"/>
        <w:widowControl/>
      </w:pPr>
      <w:r>
        <w:t>六、历史解释：从礼制秩序到社会恢复机制</w:t>
      </w:r>
    </w:p>
    <w:p>
      <w:pPr>
        <w:pStyle w:val="Heading2"/>
        <w:widowControl/>
      </w:pPr>
      <w:r>
        <w:t>（一）《诗经》不是单一社会的镜像</w:t>
      </w:r>
    </w:p>
    <w:p>
      <w:pPr>
        <w:widowControl/>
      </w:pPr>
      <w:r>
        <w:rPr>
          <w:rFonts w:ascii="Times New Roman" w:hAnsi="Times New Roman" w:eastAsia="Noto Serif SC"/>
          <w:sz w:val="22"/>
        </w:rPr>
        <w:t>《诗经》跨越不同地域、层级、仪式场景与编纂时段，不可能被压缩为一个同步社会的透明镜像。本文的网络是“文本所保存的社会状态表达”的结构，而非西周社会全貌的直接测量。它的历史价值在于揭示哪些压力、行动和恢复机制被反复保存、彼此关联，并进入经典记忆。</w:t>
      </w:r>
    </w:p>
    <w:p>
      <w:pPr>
        <w:pStyle w:val="Heading2"/>
        <w:widowControl/>
      </w:pPr>
      <w:r>
        <w:t>（二）恢复并非返回原状</w:t>
      </w:r>
    </w:p>
    <w:p>
      <w:pPr>
        <w:widowControl/>
      </w:pPr>
      <w:r>
        <w:rPr>
          <w:rFonts w:ascii="Times New Roman" w:hAnsi="Times New Roman" w:eastAsia="Noto Serif SC"/>
          <w:sz w:val="22"/>
        </w:rPr>
        <w:t>结构模型显示，恢复常常不是返回危机之前的状态，而是通过重新分配角色、更新承诺、重申祖先谱系、改变行动尺度或重建资源循环，形成可继续运作的新秩序。用形式语言表示，恢复不是xₜ₊ₕ=xₜ₋₁，而是系统从高风险域进入一个满足生存与协调约束的新可行域。</w:t>
      </w:r>
    </w:p>
    <w:p>
      <w:pPr>
        <w:pStyle w:val="Equation"/>
        <w:widowControl/>
      </w:pPr>
      <w:r>
        <w:rPr>
          <w:rFonts w:ascii="Cambria Math" w:hAnsi="Cambria Math" w:eastAsia="Noto Serif SC"/>
          <w:sz w:val="21"/>
        </w:rPr>
        <w:t>Recoveryₕ(xₜ) ⇔ ∃h≤H: xₜ₊ₕ ∈ 𝔽safe　且　xₜ:ₜ₊ₕ ⊂ 𝔽survival</w:t>
      </w:r>
    </w:p>
    <w:p>
      <w:pPr>
        <w:widowControl/>
      </w:pPr>
      <w:r>
        <w:rPr>
          <w:rFonts w:ascii="Times New Roman" w:hAnsi="Times New Roman" w:eastAsia="Noto Serif SC"/>
          <w:sz w:val="22"/>
        </w:rPr>
        <w:t>这一表达不把周代社会物理化，而是明确“恢复”一词的判断条件：系统在过渡期没有越出生存域，并在有限路径内进入可持续的协调域。它可用于比较不同诗篇中的恢复路径，也允许失败、延迟恢复和表面恢复被区分。</w:t>
      </w:r>
    </w:p>
    <w:p>
      <w:pPr>
        <w:pStyle w:val="Heading2"/>
        <w:widowControl/>
      </w:pPr>
      <w:r>
        <w:t>（三）金文与考古证据的正确位置</w:t>
      </w:r>
    </w:p>
    <w:p>
      <w:pPr>
        <w:widowControl/>
      </w:pPr>
      <w:r>
        <w:rPr>
          <w:rFonts w:ascii="Times New Roman" w:hAnsi="Times New Roman" w:eastAsia="Noto Serif SC"/>
          <w:sz w:val="22"/>
        </w:rPr>
        <w:t>金文、器物组合、墓葬等级和聚落考古能够对祖先祭祀、册命、赏赐、军事动员、资源分配与政治中心性进行局部校验，但它们不能直接验证一个由诗篇语义建立的全局网络。本文因而采取“案例层校验而非全局背书”：只有当文本状态、外部材料与时间—空间约束同时相容时，才允许提出历史定位；若证据只支持一般制度背景，则只报告背景相容，不把相容误写成对应。</w:t>
      </w:r>
    </w:p>
    <w:p>
      <w:pPr>
        <w:pStyle w:val="Heading1"/>
        <w:widowControl/>
      </w:pPr>
      <w:r>
        <w:t>七、数学模型的意义与物理化表达的边界</w:t>
      </w:r>
    </w:p>
    <w:p>
      <w:pPr>
        <w:pStyle w:val="Heading2"/>
        <w:widowControl/>
      </w:pPr>
      <w:r>
        <w:t>（一）数学模型：从分类表到状态空间</w:t>
      </w:r>
    </w:p>
    <w:p>
      <w:pPr>
        <w:widowControl/>
      </w:pPr>
      <w:r>
        <w:rPr>
          <w:rFonts w:ascii="Times New Roman" w:hAnsi="Times New Roman" w:eastAsia="Noto Serif SC"/>
          <w:sz w:val="22"/>
        </w:rPr>
        <w:t>数学化的首要意义不是提高论文的技术外观，而是改变论证责任。传统解释可以说某诗“表现哀怨”或“用于祭祀”，却很少被要求说明这些判断如何与资源、制度、风险、合法性和恢复共同作用。状态向量把复合判断拆分为可复核维度；网络把单篇解释转化为关系结构；竞争模型则迫使研究者说明为什么一种解释优于其他同样可读的解释。</w:t>
      </w:r>
    </w:p>
    <w:p>
      <w:pPr>
        <w:widowControl/>
      </w:pPr>
      <w:r>
        <w:rPr>
          <w:rFonts w:ascii="Times New Roman" w:hAnsi="Times New Roman" w:eastAsia="Noto Serif SC"/>
          <w:sz w:val="22"/>
        </w:rPr>
        <w:t>这一模型还提供三种新能力。第一，尺度转换：在字词、诗章、诗篇、共同体和经典整体之间保持可追踪关系。第二，反事实比较：改变某一维度或操作，观察网络位置和恢复路径是否改变。第三，失败可见：当删维、置乱或跨表示复刻使结论消失时，模型必须降级主张，而不是以更华丽的阐释掩盖不稳定。</w:t>
      </w:r>
    </w:p>
    <w:p>
      <w:pPr>
        <w:pStyle w:val="Heading2"/>
        <w:widowControl/>
      </w:pPr>
      <w:r>
        <w:t>（二）守恒—耗散类比</w:t>
      </w:r>
    </w:p>
    <w:p>
      <w:pPr>
        <w:widowControl/>
      </w:pPr>
      <w:r>
        <w:rPr>
          <w:rFonts w:ascii="Times New Roman" w:hAnsi="Times New Roman" w:eastAsia="Noto Serif SC"/>
          <w:sz w:val="22"/>
        </w:rPr>
        <w:t>社会文本中的资源、合法性、信任和暴力并不服从物理学意义上的严格守恒律，但可以构造受约束的“存量—流量—耗散”模型，用于描述秩序维持的成本。设z(t)为制度、资源、合法性和协调能力组成的连续状态，u(t)为仪式、分配、惩罚、联合等操作，η(t)为外部扰动，则：</w:t>
      </w:r>
    </w:p>
    <w:p>
      <w:pPr>
        <w:pStyle w:val="Equation"/>
        <w:widowControl/>
      </w:pPr>
      <w:r>
        <w:rPr>
          <w:rFonts w:ascii="Cambria Math" w:hAnsi="Cambria Math" w:eastAsia="Noto Serif SC"/>
          <w:sz w:val="21"/>
        </w:rPr>
        <w:t>dz/dt = F(z,t) + G(z)u(t) − D(z,t) + η(t)</w:t>
      </w:r>
    </w:p>
    <w:p>
      <w:pPr>
        <w:widowControl/>
      </w:pPr>
      <w:r>
        <w:rPr>
          <w:rFonts w:ascii="Times New Roman" w:hAnsi="Times New Roman" w:eastAsia="Noto Serif SC"/>
          <w:sz w:val="22"/>
        </w:rPr>
        <w:t>其中D表示冲突、匮乏、离散与失信造成的耗散。该方程目前是理论表示，不是已经从周代数据估计出来的物理定律。它的用途是把“仪式有效”改写为可检验问题：仪式操作是否在特定条件下减少耗散、扩大可行域或改变恢复时间？如果没有资源投入、角色承认或行动协调，仪式变量单独上升并不保证恢复。</w:t>
      </w:r>
    </w:p>
    <w:p>
      <w:pPr>
        <w:pStyle w:val="Heading2"/>
        <w:widowControl/>
      </w:pPr>
      <w:r>
        <w:t>（三）连续—离散统一的下一步</w:t>
      </w:r>
    </w:p>
    <w:p>
      <w:pPr>
        <w:widowControl/>
      </w:pPr>
      <w:r>
        <w:rPr>
          <w:rFonts w:ascii="Times New Roman" w:hAnsi="Times New Roman" w:eastAsia="Noto Serif SC"/>
          <w:sz w:val="22"/>
        </w:rPr>
        <w:t>诗章变化既包含情感、压力等连续强度变化，也包含婚姻、战争、册命、祭祀等离散事件。下一阶段可用混合动力系统表达：连续状态在事件之间演化，事件触发状态跳变，随机扰动表示证据不确定性与历史偶然性。该方向尚属于候选研究基线；在完成参数识别、外部复刻和失败门检验之前，本文不把它表述为已经证明的“《诗经》物理模型”。</w:t>
      </w:r>
    </w:p>
    <w:p>
      <w:pPr>
        <w:pStyle w:val="Heading1"/>
        <w:widowControl/>
      </w:pPr>
      <w:r>
        <w:t>八、稳健性、限制与可证伪条件</w:t>
      </w:r>
    </w:p>
    <w:p>
      <w:pPr>
        <w:pStyle w:val="Heading2"/>
        <w:widowControl/>
      </w:pPr>
      <w:r>
        <w:t>（一）已经通过与尚未通过的门</w:t>
      </w:r>
    </w:p>
    <w:tbl>
      <w:tblPr>
        <w:tblW w:type="dxa" w:w="9360"/>
        <w:jc w:val="center"/>
        <w:tblLayout w:type="fixed"/>
        <w:tblLook w:firstColumn="1" w:firstRow="1" w:lastColumn="0" w:lastRow="0" w:noHBand="0" w:noVBand="1" w:val="04A0"/>
        <w:tblInd w:w="120" w:type="dxa"/>
      </w:tblPr>
      <w:tblGrid>
        <w:gridCol w:w="2376"/>
        <w:gridCol w:w="1728"/>
        <w:gridCol w:w="5256"/>
      </w:tblGrid>
      <w:tr>
        <w:tc>
          <w:tcPr>
            <w:tcW w:type="dxa" w:w="2376"/>
            <w:shd w:fill="E8EEF5"/>
            <w:vAlign w:val="center"/>
            <w:tcMar>
              <w:top w:w="90" w:type="dxa"/>
              <w:start w:w="120" w:type="dxa"/>
              <w:bottom w:w="90" w:type="dxa"/>
              <w:end w:w="120" w:type="dxa"/>
            </w:tcMar>
          </w:tcPr>
          <w:p>
            <w:pPr>
              <w:spacing w:after="0"/>
              <w:ind w:firstLine="0"/>
              <w:jc w:val="center"/>
            </w:pPr>
            <w:r>
              <w:rPr>
                <w:rFonts w:ascii="Times New Roman" w:hAnsi="Times New Roman" w:eastAsia="Noto Sans CJK SC"/>
                <w:b/>
                <w:sz w:val="19"/>
              </w:rPr>
              <w:t>研究门</w:t>
            </w:r>
          </w:p>
        </w:tc>
        <w:tc>
          <w:tcPr>
            <w:tcW w:type="dxa" w:w="1728"/>
            <w:shd w:fill="E8EEF5"/>
            <w:vAlign w:val="center"/>
            <w:tcMar>
              <w:top w:w="90" w:type="dxa"/>
              <w:start w:w="120" w:type="dxa"/>
              <w:bottom w:w="90" w:type="dxa"/>
              <w:end w:w="120" w:type="dxa"/>
            </w:tcMar>
          </w:tcPr>
          <w:p>
            <w:pPr>
              <w:spacing w:after="0"/>
              <w:ind w:firstLine="0"/>
              <w:jc w:val="center"/>
            </w:pPr>
            <w:r>
              <w:rPr>
                <w:rFonts w:ascii="Times New Roman" w:hAnsi="Times New Roman" w:eastAsia="Noto Sans CJK SC"/>
                <w:b/>
                <w:sz w:val="19"/>
              </w:rPr>
              <w:t>当前状态</w:t>
            </w:r>
          </w:p>
        </w:tc>
        <w:tc>
          <w:tcPr>
            <w:tcW w:type="dxa" w:w="5256"/>
            <w:shd w:fill="E8EEF5"/>
            <w:vAlign w:val="center"/>
            <w:tcMar>
              <w:top w:w="90" w:type="dxa"/>
              <w:start w:w="120" w:type="dxa"/>
              <w:bottom w:w="90" w:type="dxa"/>
              <w:end w:w="120" w:type="dxa"/>
            </w:tcMar>
          </w:tcPr>
          <w:p>
            <w:pPr>
              <w:spacing w:after="0"/>
              <w:ind w:firstLine="0"/>
              <w:jc w:val="center"/>
            </w:pPr>
            <w:r>
              <w:rPr>
                <w:rFonts w:ascii="Times New Roman" w:hAnsi="Times New Roman" w:eastAsia="Noto Sans CJK SC"/>
                <w:b/>
                <w:sz w:val="19"/>
              </w:rPr>
              <w:t>含义</w:t>
            </w:r>
          </w:p>
        </w:tc>
      </w:tr>
      <w:tr>
        <w:tc>
          <w:tcPr>
            <w:tcW w:type="dxa" w:w="2376"/>
            <w:vAlign w:val="center"/>
            <w:tcMar>
              <w:top w:w="90" w:type="dxa"/>
              <w:start w:w="120" w:type="dxa"/>
              <w:bottom w:w="90" w:type="dxa"/>
              <w:end w:w="120" w:type="dxa"/>
            </w:tcMar>
          </w:tcPr>
          <w:p>
            <w:pPr>
              <w:spacing w:after="0" w:line="276" w:lineRule="auto"/>
              <w:ind w:firstLine="0"/>
              <w:jc w:val="center"/>
            </w:pPr>
            <w:r>
              <w:rPr>
                <w:rFonts w:ascii="Times New Roman" w:hAnsi="Times New Roman" w:eastAsia="Noto Serif SC"/>
                <w:sz w:val="18"/>
              </w:rPr>
              <w:t>305篇完整编码与311节点本体</w:t>
            </w:r>
          </w:p>
        </w:tc>
        <w:tc>
          <w:tcPr>
            <w:tcW w:type="dxa" w:w="1728"/>
            <w:vAlign w:val="center"/>
            <w:tcMar>
              <w:top w:w="90" w:type="dxa"/>
              <w:start w:w="120" w:type="dxa"/>
              <w:bottom w:w="90" w:type="dxa"/>
              <w:end w:w="120" w:type="dxa"/>
            </w:tcMar>
          </w:tcPr>
          <w:p>
            <w:pPr>
              <w:spacing w:after="0" w:line="276" w:lineRule="auto"/>
              <w:ind w:firstLine="0"/>
              <w:jc w:val="center"/>
            </w:pPr>
            <w:r>
              <w:rPr>
                <w:rFonts w:ascii="Times New Roman" w:hAnsi="Times New Roman" w:eastAsia="Noto Serif SC"/>
                <w:sz w:val="18"/>
              </w:rPr>
              <w:t>已完成</w:t>
            </w:r>
          </w:p>
        </w:tc>
        <w:tc>
          <w:tcPr>
            <w:tcW w:type="dxa" w:w="5256"/>
            <w:vAlign w:val="center"/>
            <w:tcMar>
              <w:top w:w="90" w:type="dxa"/>
              <w:start w:w="120" w:type="dxa"/>
              <w:bottom w:w="90" w:type="dxa"/>
              <w:end w:w="120" w:type="dxa"/>
            </w:tcMar>
          </w:tcPr>
          <w:p>
            <w:pPr>
              <w:spacing w:after="0" w:line="276" w:lineRule="auto"/>
              <w:ind w:firstLine="0"/>
              <w:jc w:val="center"/>
            </w:pPr>
            <w:r>
              <w:rPr>
                <w:rFonts w:ascii="Times New Roman" w:hAnsi="Times New Roman" w:eastAsia="Noto Serif SC"/>
                <w:sz w:val="18"/>
              </w:rPr>
              <w:t>研究对象和缺失规则已冻结</w:t>
            </w:r>
          </w:p>
        </w:tc>
      </w:tr>
      <w:tr>
        <w:tc>
          <w:tcPr>
            <w:tcW w:type="dxa" w:w="2376"/>
            <w:vAlign w:val="center"/>
            <w:tcMar>
              <w:top w:w="90" w:type="dxa"/>
              <w:start w:w="120" w:type="dxa"/>
              <w:bottom w:w="90" w:type="dxa"/>
              <w:end w:w="120" w:type="dxa"/>
            </w:tcMar>
          </w:tcPr>
          <w:p>
            <w:pPr>
              <w:spacing w:after="0" w:line="276" w:lineRule="auto"/>
              <w:ind w:firstLine="0"/>
              <w:jc w:val="center"/>
            </w:pPr>
            <w:r>
              <w:rPr>
                <w:rFonts w:ascii="Times New Roman" w:hAnsi="Times New Roman" w:eastAsia="Noto Serif SC"/>
                <w:sz w:val="18"/>
              </w:rPr>
              <w:t>网络共同体与传统标签比较</w:t>
            </w:r>
          </w:p>
        </w:tc>
        <w:tc>
          <w:tcPr>
            <w:tcW w:type="dxa" w:w="1728"/>
            <w:vAlign w:val="center"/>
            <w:tcMar>
              <w:top w:w="90" w:type="dxa"/>
              <w:start w:w="120" w:type="dxa"/>
              <w:bottom w:w="90" w:type="dxa"/>
              <w:end w:w="120" w:type="dxa"/>
            </w:tcMar>
          </w:tcPr>
          <w:p>
            <w:pPr>
              <w:spacing w:after="0" w:line="276" w:lineRule="auto"/>
              <w:ind w:firstLine="0"/>
              <w:jc w:val="center"/>
            </w:pPr>
            <w:r>
              <w:rPr>
                <w:rFonts w:ascii="Times New Roman" w:hAnsi="Times New Roman" w:eastAsia="Noto Serif SC"/>
                <w:sz w:val="18"/>
              </w:rPr>
              <w:t>已完成</w:t>
            </w:r>
          </w:p>
        </w:tc>
        <w:tc>
          <w:tcPr>
            <w:tcW w:type="dxa" w:w="5256"/>
            <w:vAlign w:val="center"/>
            <w:tcMar>
              <w:top w:w="90" w:type="dxa"/>
              <w:start w:w="120" w:type="dxa"/>
              <w:bottom w:w="90" w:type="dxa"/>
              <w:end w:w="120" w:type="dxa"/>
            </w:tcMar>
          </w:tcPr>
          <w:p>
            <w:pPr>
              <w:spacing w:after="0" w:line="276" w:lineRule="auto"/>
              <w:ind w:firstLine="0"/>
              <w:jc w:val="center"/>
            </w:pPr>
            <w:r>
              <w:rPr>
                <w:rFonts w:ascii="Times New Roman" w:hAnsi="Times New Roman" w:eastAsia="Noto Serif SC"/>
                <w:sz w:val="18"/>
              </w:rPr>
              <w:t>支持跨部类结构发现</w:t>
            </w:r>
          </w:p>
        </w:tc>
      </w:tr>
      <w:tr>
        <w:tc>
          <w:tcPr>
            <w:tcW w:type="dxa" w:w="2376"/>
            <w:vAlign w:val="center"/>
            <w:tcMar>
              <w:top w:w="90" w:type="dxa"/>
              <w:start w:w="120" w:type="dxa"/>
              <w:bottom w:w="90" w:type="dxa"/>
              <w:end w:w="120" w:type="dxa"/>
            </w:tcMar>
          </w:tcPr>
          <w:p>
            <w:pPr>
              <w:spacing w:after="0" w:line="276" w:lineRule="auto"/>
              <w:ind w:firstLine="0"/>
              <w:jc w:val="center"/>
            </w:pPr>
            <w:r>
              <w:rPr>
                <w:rFonts w:ascii="Times New Roman" w:hAnsi="Times New Roman" w:eastAsia="Noto Serif SC"/>
                <w:sz w:val="18"/>
              </w:rPr>
              <w:t>仪式—祖先—恢复核心稳健性</w:t>
            </w:r>
          </w:p>
        </w:tc>
        <w:tc>
          <w:tcPr>
            <w:tcW w:type="dxa" w:w="1728"/>
            <w:vAlign w:val="center"/>
            <w:tcMar>
              <w:top w:w="90" w:type="dxa"/>
              <w:start w:w="120" w:type="dxa"/>
              <w:bottom w:w="90" w:type="dxa"/>
              <w:end w:w="120" w:type="dxa"/>
            </w:tcMar>
          </w:tcPr>
          <w:p>
            <w:pPr>
              <w:spacing w:after="0" w:line="276" w:lineRule="auto"/>
              <w:ind w:firstLine="0"/>
              <w:jc w:val="center"/>
            </w:pPr>
            <w:r>
              <w:rPr>
                <w:rFonts w:ascii="Times New Roman" w:hAnsi="Times New Roman" w:eastAsia="Noto Serif SC"/>
                <w:sz w:val="18"/>
              </w:rPr>
              <w:t>初步通过</w:t>
            </w:r>
          </w:p>
        </w:tc>
        <w:tc>
          <w:tcPr>
            <w:tcW w:type="dxa" w:w="5256"/>
            <w:vAlign w:val="center"/>
            <w:tcMar>
              <w:top w:w="90" w:type="dxa"/>
              <w:start w:w="120" w:type="dxa"/>
              <w:bottom w:w="90" w:type="dxa"/>
              <w:end w:w="120" w:type="dxa"/>
            </w:tcMar>
          </w:tcPr>
          <w:p>
            <w:pPr>
              <w:spacing w:after="0" w:line="276" w:lineRule="auto"/>
              <w:ind w:firstLine="0"/>
              <w:jc w:val="left"/>
            </w:pPr>
            <w:r>
              <w:rPr>
                <w:rFonts w:ascii="Times New Roman" w:hAnsi="Times New Roman" w:eastAsia="Noto Serif SC"/>
                <w:sz w:val="18"/>
              </w:rPr>
              <w:t>支持方向性结论，仍需独立编码复刻</w:t>
            </w:r>
          </w:p>
        </w:tc>
      </w:tr>
      <w:tr>
        <w:tc>
          <w:tcPr>
            <w:tcW w:type="dxa" w:w="2376"/>
            <w:vAlign w:val="center"/>
            <w:tcMar>
              <w:top w:w="90" w:type="dxa"/>
              <w:start w:w="120" w:type="dxa"/>
              <w:bottom w:w="90" w:type="dxa"/>
              <w:end w:w="120" w:type="dxa"/>
            </w:tcMar>
          </w:tcPr>
          <w:p>
            <w:pPr>
              <w:spacing w:after="0" w:line="276" w:lineRule="auto"/>
              <w:ind w:firstLine="0"/>
              <w:jc w:val="center"/>
            </w:pPr>
            <w:r>
              <w:rPr>
                <w:rFonts w:ascii="Times New Roman" w:hAnsi="Times New Roman" w:eastAsia="Noto Serif SC"/>
                <w:sz w:val="18"/>
              </w:rPr>
              <w:t>《周易》全局特异性</w:t>
            </w:r>
          </w:p>
        </w:tc>
        <w:tc>
          <w:tcPr>
            <w:tcW w:type="dxa" w:w="1728"/>
            <w:vAlign w:val="center"/>
            <w:tcMar>
              <w:top w:w="90" w:type="dxa"/>
              <w:start w:w="120" w:type="dxa"/>
              <w:bottom w:w="90" w:type="dxa"/>
              <w:end w:w="120" w:type="dxa"/>
            </w:tcMar>
          </w:tcPr>
          <w:p>
            <w:pPr>
              <w:spacing w:after="0" w:line="276" w:lineRule="auto"/>
              <w:ind w:firstLine="0"/>
              <w:jc w:val="center"/>
            </w:pPr>
            <w:r>
              <w:rPr>
                <w:rFonts w:ascii="Times New Roman" w:hAnsi="Times New Roman" w:eastAsia="Noto Serif SC"/>
                <w:sz w:val="18"/>
              </w:rPr>
              <w:t>未通过</w:t>
            </w:r>
          </w:p>
        </w:tc>
        <w:tc>
          <w:tcPr>
            <w:tcW w:type="dxa" w:w="5256"/>
            <w:vAlign w:val="center"/>
            <w:tcMar>
              <w:top w:w="90" w:type="dxa"/>
              <w:start w:w="120" w:type="dxa"/>
              <w:bottom w:w="90" w:type="dxa"/>
              <w:end w:w="120" w:type="dxa"/>
            </w:tcMar>
          </w:tcPr>
          <w:p>
            <w:pPr>
              <w:spacing w:after="0" w:line="276" w:lineRule="auto"/>
              <w:ind w:firstLine="0"/>
              <w:jc w:val="center"/>
            </w:pPr>
            <w:r>
              <w:rPr>
                <w:rFonts w:ascii="Times New Roman" w:hAnsi="Times New Roman" w:eastAsia="Noto Serif SC"/>
                <w:sz w:val="18"/>
              </w:rPr>
              <w:t>强同构与生成命题被否决</w:t>
            </w:r>
          </w:p>
        </w:tc>
      </w:tr>
      <w:tr>
        <w:tc>
          <w:tcPr>
            <w:tcW w:type="dxa" w:w="2376"/>
            <w:vAlign w:val="center"/>
            <w:tcMar>
              <w:top w:w="90" w:type="dxa"/>
              <w:start w:w="120" w:type="dxa"/>
              <w:bottom w:w="90" w:type="dxa"/>
              <w:end w:w="120" w:type="dxa"/>
            </w:tcMar>
          </w:tcPr>
          <w:p>
            <w:pPr>
              <w:spacing w:after="0" w:line="276" w:lineRule="auto"/>
              <w:ind w:firstLine="0"/>
              <w:jc w:val="center"/>
            </w:pPr>
            <w:r>
              <w:rPr>
                <w:rFonts w:ascii="Times New Roman" w:hAnsi="Times New Roman" w:eastAsia="Noto Serif SC"/>
                <w:sz w:val="18"/>
              </w:rPr>
              <w:t>独立团队跨表示复刻</w:t>
            </w:r>
          </w:p>
        </w:tc>
        <w:tc>
          <w:tcPr>
            <w:tcW w:type="dxa" w:w="1728"/>
            <w:vAlign w:val="center"/>
            <w:tcMar>
              <w:top w:w="90" w:type="dxa"/>
              <w:start w:w="120" w:type="dxa"/>
              <w:bottom w:w="90" w:type="dxa"/>
              <w:end w:w="120" w:type="dxa"/>
            </w:tcMar>
          </w:tcPr>
          <w:p>
            <w:pPr>
              <w:spacing w:after="0" w:line="276" w:lineRule="auto"/>
              <w:ind w:firstLine="0"/>
              <w:jc w:val="center"/>
            </w:pPr>
            <w:r>
              <w:rPr>
                <w:rFonts w:ascii="Times New Roman" w:hAnsi="Times New Roman" w:eastAsia="Noto Serif SC"/>
                <w:sz w:val="18"/>
              </w:rPr>
              <w:t>待完成</w:t>
            </w:r>
          </w:p>
        </w:tc>
        <w:tc>
          <w:tcPr>
            <w:tcW w:type="dxa" w:w="5256"/>
            <w:vAlign w:val="center"/>
            <w:tcMar>
              <w:top w:w="90" w:type="dxa"/>
              <w:start w:w="120" w:type="dxa"/>
              <w:bottom w:w="90" w:type="dxa"/>
              <w:end w:w="120" w:type="dxa"/>
            </w:tcMar>
          </w:tcPr>
          <w:p>
            <w:pPr>
              <w:spacing w:after="0" w:line="276" w:lineRule="auto"/>
              <w:ind w:firstLine="0"/>
              <w:jc w:val="center"/>
            </w:pPr>
            <w:r>
              <w:rPr>
                <w:rFonts w:ascii="Times New Roman" w:hAnsi="Times New Roman" w:eastAsia="Noto Serif SC"/>
                <w:sz w:val="18"/>
              </w:rPr>
              <w:t>不能声称普遍稳定性</w:t>
            </w:r>
          </w:p>
        </w:tc>
      </w:tr>
      <w:tr>
        <w:tc>
          <w:tcPr>
            <w:tcW w:type="dxa" w:w="2376"/>
            <w:vAlign w:val="center"/>
            <w:tcMar>
              <w:top w:w="90" w:type="dxa"/>
              <w:start w:w="120" w:type="dxa"/>
              <w:bottom w:w="90" w:type="dxa"/>
              <w:end w:w="120" w:type="dxa"/>
            </w:tcMar>
          </w:tcPr>
          <w:p>
            <w:pPr>
              <w:spacing w:after="0" w:line="276" w:lineRule="auto"/>
              <w:ind w:firstLine="0"/>
              <w:jc w:val="center"/>
            </w:pPr>
            <w:r>
              <w:rPr>
                <w:rFonts w:ascii="Times New Roman" w:hAnsi="Times New Roman" w:eastAsia="Noto Serif SC"/>
                <w:sz w:val="18"/>
              </w:rPr>
              <w:t>金文—考古系统外部验证</w:t>
            </w:r>
          </w:p>
        </w:tc>
        <w:tc>
          <w:tcPr>
            <w:tcW w:type="dxa" w:w="1728"/>
            <w:vAlign w:val="center"/>
            <w:tcMar>
              <w:top w:w="90" w:type="dxa"/>
              <w:start w:w="120" w:type="dxa"/>
              <w:bottom w:w="90" w:type="dxa"/>
              <w:end w:w="120" w:type="dxa"/>
            </w:tcMar>
          </w:tcPr>
          <w:p>
            <w:pPr>
              <w:spacing w:after="0" w:line="276" w:lineRule="auto"/>
              <w:ind w:firstLine="0"/>
              <w:jc w:val="center"/>
            </w:pPr>
            <w:r>
              <w:rPr>
                <w:rFonts w:ascii="Times New Roman" w:hAnsi="Times New Roman" w:eastAsia="Noto Serif SC"/>
                <w:sz w:val="18"/>
              </w:rPr>
              <w:t>进行中</w:t>
            </w:r>
          </w:p>
        </w:tc>
        <w:tc>
          <w:tcPr>
            <w:tcW w:type="dxa" w:w="5256"/>
            <w:vAlign w:val="center"/>
            <w:tcMar>
              <w:top w:w="90" w:type="dxa"/>
              <w:start w:w="120" w:type="dxa"/>
              <w:bottom w:w="90" w:type="dxa"/>
              <w:end w:w="120" w:type="dxa"/>
            </w:tcMar>
          </w:tcPr>
          <w:p>
            <w:pPr>
              <w:spacing w:after="0" w:line="276" w:lineRule="auto"/>
              <w:ind w:firstLine="0"/>
              <w:jc w:val="center"/>
            </w:pPr>
            <w:r>
              <w:rPr>
                <w:rFonts w:ascii="Times New Roman" w:hAnsi="Times New Roman" w:eastAsia="Noto Serif SC"/>
                <w:sz w:val="18"/>
              </w:rPr>
              <w:t>历史定位仍限于局部案例</w:t>
            </w:r>
          </w:p>
        </w:tc>
      </w:tr>
      <w:tr>
        <w:tc>
          <w:tcPr>
            <w:tcW w:type="dxa" w:w="2376"/>
            <w:vAlign w:val="center"/>
            <w:tcMar>
              <w:top w:w="90" w:type="dxa"/>
              <w:start w:w="120" w:type="dxa"/>
              <w:bottom w:w="90" w:type="dxa"/>
              <w:end w:w="120" w:type="dxa"/>
            </w:tcMar>
          </w:tcPr>
          <w:p>
            <w:pPr>
              <w:spacing w:after="0" w:line="276" w:lineRule="auto"/>
              <w:ind w:firstLine="0"/>
              <w:jc w:val="center"/>
            </w:pPr>
            <w:r>
              <w:rPr>
                <w:rFonts w:ascii="Times New Roman" w:hAnsi="Times New Roman" w:eastAsia="Noto Serif SC"/>
                <w:sz w:val="18"/>
              </w:rPr>
              <w:t>连续—离散动力参数估计</w:t>
            </w:r>
          </w:p>
        </w:tc>
        <w:tc>
          <w:tcPr>
            <w:tcW w:type="dxa" w:w="1728"/>
            <w:vAlign w:val="center"/>
            <w:tcMar>
              <w:top w:w="90" w:type="dxa"/>
              <w:start w:w="120" w:type="dxa"/>
              <w:bottom w:w="90" w:type="dxa"/>
              <w:end w:w="120" w:type="dxa"/>
            </w:tcMar>
          </w:tcPr>
          <w:p>
            <w:pPr>
              <w:spacing w:after="0" w:line="276" w:lineRule="auto"/>
              <w:ind w:firstLine="0"/>
              <w:jc w:val="center"/>
            </w:pPr>
            <w:r>
              <w:rPr>
                <w:rFonts w:ascii="Times New Roman" w:hAnsi="Times New Roman" w:eastAsia="Noto Serif SC"/>
                <w:sz w:val="18"/>
              </w:rPr>
              <w:t>待完成</w:t>
            </w:r>
          </w:p>
        </w:tc>
        <w:tc>
          <w:tcPr>
            <w:tcW w:type="dxa" w:w="5256"/>
            <w:vAlign w:val="center"/>
            <w:tcMar>
              <w:top w:w="90" w:type="dxa"/>
              <w:start w:w="120" w:type="dxa"/>
              <w:bottom w:w="90" w:type="dxa"/>
              <w:end w:w="120" w:type="dxa"/>
            </w:tcMar>
          </w:tcPr>
          <w:p>
            <w:pPr>
              <w:spacing w:after="0" w:line="276" w:lineRule="auto"/>
              <w:ind w:firstLine="0"/>
              <w:jc w:val="center"/>
            </w:pPr>
            <w:r>
              <w:rPr>
                <w:rFonts w:ascii="Times New Roman" w:hAnsi="Times New Roman" w:eastAsia="Noto Serif SC"/>
                <w:sz w:val="18"/>
              </w:rPr>
              <w:t>物理化模型仅为研究方案</w:t>
            </w:r>
          </w:p>
        </w:tc>
      </w:tr>
    </w:tbl>
    <w:p>
      <w:pPr>
        <w:pStyle w:val="Heading2"/>
        <w:widowControl/>
      </w:pPr>
      <w:r>
        <w:t>（二）主要限制</w:t>
      </w:r>
    </w:p>
    <w:p>
      <w:pPr>
        <w:widowControl/>
      </w:pPr>
      <w:r>
        <w:rPr>
          <w:rFonts w:ascii="Times New Roman" w:hAnsi="Times New Roman" w:eastAsia="Noto Serif SC"/>
          <w:sz w:val="22"/>
        </w:rPr>
        <w:t>第一，八维本体虽经过定义和冻结，仍包含解释性编码；一致性检验不能完全消除理论预设。第二，传世文本经历长期编纂与解释，当前顺序和篇界不必然等于最初使用形态。第三，网络参数、阈值与表示方式会影响共同体边界，故本文把四共同体视为当前数据和协议下的最优结构，而非唯一真结构。第四，外部史料在地域、时间和社会层级上分布不均，证据可见性偏差同样存在。第五，《周易》比较结果主要否定强命题，不能被反向解释为二者毫无历史联系。</w:t>
      </w:r>
    </w:p>
    <w:p>
      <w:pPr>
        <w:pStyle w:val="Heading2"/>
        <w:widowControl/>
      </w:pPr>
      <w:r>
        <w:t>（三）明确的失败条件</w:t>
      </w:r>
    </w:p>
    <w:p>
      <w:pPr>
        <w:widowControl/>
      </w:pPr>
      <w:r>
        <w:rPr>
          <w:rFonts w:ascii="Times New Roman" w:hAnsi="Times New Roman" w:eastAsia="Noto Serif SC"/>
          <w:sz w:val="22"/>
        </w:rPr>
        <w:t>若独立团队在不接触当前共同体标签的条件下，使用同一文本、公开本体或语义不同构的替代表示，无法复现跨部类结构与仪式—祖先—恢复核心，则本文的核心发现应降级为编码依赖结果。若未来金文和考古材料显示被识别为同类状态的诗篇在制度、时代与行动逻辑上系统冲突，则历史解释必须修订。若某种《周易》结构在严格控制复杂度后稳定优于所有替代模型，本文关于“全局特异性未获支持”的结论也应被重新检验。</w:t>
      </w:r>
    </w:p>
    <w:p>
      <w:pPr>
        <w:pStyle w:val="Heading1"/>
        <w:widowControl/>
      </w:pPr>
      <w:r>
        <w:t>九、讨论：一种不以算法取代经学的结构历史学</w:t>
      </w:r>
    </w:p>
    <w:p>
      <w:pPr>
        <w:widowControl/>
      </w:pPr>
      <w:r>
        <w:rPr>
          <w:rFonts w:ascii="Times New Roman" w:hAnsi="Times New Roman" w:eastAsia="Noto Serif SC"/>
          <w:sz w:val="22"/>
        </w:rPr>
        <w:t>本文并不宣称发现了《诗经》的“真正分类”。传统部类、经学解释、礼制功能和本文的社会状态网络属于不同观察尺度。新的结构价值在于揭示传统分类难以直接呈现的跨部类关系：一首地方情诗、一首政治怨诗和一首祭祀诗，可能因为共享“关系断裂—风险上升—承诺重建”的状态路径而进入同一结构邻域；这不抹去它们的文体差异，而是增加一种可检验的比较维度。</w:t>
      </w:r>
    </w:p>
    <w:p>
      <w:pPr>
        <w:widowControl/>
      </w:pPr>
      <w:r>
        <w:rPr>
          <w:rFonts w:ascii="Times New Roman" w:hAnsi="Times New Roman" w:eastAsia="Noto Serif SC"/>
          <w:sz w:val="22"/>
        </w:rPr>
        <w:t>更重要的是，本文改变了《周易》进入《诗经》研究的方式。《周易》不再作为能解释一切的先验宇宙图式，而是与替代模型竞争的状态语法。它在局部层面仍然重要：位置、时机、行动边界与后果比较，为早期中国如何理解不确定处境提供了高度压缩的表达。但正因为尊重这种价值，研究更应拒绝没有特异性证据的全局同构和直接生成论。</w:t>
      </w:r>
    </w:p>
    <w:p>
      <w:pPr>
        <w:widowControl/>
      </w:pPr>
      <w:r>
        <w:rPr>
          <w:rFonts w:ascii="Times New Roman" w:hAnsi="Times New Roman" w:eastAsia="Noto Serif SC"/>
          <w:sz w:val="22"/>
        </w:rPr>
        <w:t>这种研究路径可以概括为“独立发现—竞争解释—外部校验—主张分级”。它既不同于只把大模型用于摘要、仿写和关键词统计的辅助型数字人文，也不同于以一个公式覆盖所有文本的形式主义。算法的角色是扩大可比较范围、保存推理痕迹并暴露失败；学者的角色是定义问题、管理证据、提出竞争解释，并对无法由材料支持的结论保持克制。</w:t>
      </w:r>
    </w:p>
    <w:p>
      <w:pPr>
        <w:pStyle w:val="Heading1"/>
        <w:widowControl/>
      </w:pPr>
      <w:r>
        <w:t>十、结论</w:t>
      </w:r>
    </w:p>
    <w:p>
      <w:pPr>
        <w:widowControl/>
      </w:pPr>
      <w:r>
        <w:rPr>
          <w:rFonts w:ascii="Times New Roman" w:hAnsi="Times New Roman" w:eastAsia="Noto Serif SC"/>
          <w:sz w:val="22"/>
        </w:rPr>
        <w:t>本文从305篇有辞诗、6篇无辞缺失节点和1319条诗章路径出发，重构了一个跨越“风雅颂”的《诗经》社会状态网络。四个跨部类共同体、Q=0.4373的模块度、NMI=0.0580的低标签一致性与54.36%的跨部类联系共同表明：《诗经》内部存在不能由传统编辑分类直接概括的关系结构。其最重要的方向性发现，是仪式、祖先、合法性与危机恢复构成稳定耦合，提示《诗经》保存了周代社会如何承受压力、重建承诺并维持跨代连续性的结构经验。</w:t>
      </w:r>
    </w:p>
    <w:p>
      <w:pPr>
        <w:widowControl/>
      </w:pPr>
      <w:r>
        <w:rPr>
          <w:rFonts w:ascii="Times New Roman" w:hAnsi="Times New Roman" w:eastAsia="Noto Serif SC"/>
          <w:sz w:val="22"/>
        </w:rPr>
        <w:t>《周易》的后置比较进一步划定了这项发现的边界。卦爻语法对于处境识别、位置化行动、后果比较和恢复判断具有局部解释力；但七相位—七域、卦序、Q₆拓扑与无标签复刻均未提供全局特异性证据。因此，本文明确否定“《诗经》由《周易》写成或生成”的命题，也不从现有模型推出唯一编年和全局历史动力方向。</w:t>
      </w:r>
    </w:p>
    <w:p>
      <w:pPr>
        <w:widowControl/>
      </w:pPr>
      <w:r>
        <w:rPr>
          <w:rFonts w:ascii="Times New Roman" w:hAnsi="Times New Roman" w:eastAsia="Noto Serif SC"/>
          <w:sz w:val="22"/>
        </w:rPr>
        <w:t>真正的新结论不是两部经典共享一个神秘密码，而是它们以不同形式处理了同一类文明问题：《诗经》保存社会状态、经验与情感的异质档案，《周易》压缩处境、行动和后果的比较语法。二者的关联需要在局部、条件性和可证伪的层面被重新建立。由此，经典研究获得一种新的科学性：不是取消解释，而是让解释承担证据、替代模型与失败条件。</w:t>
      </w:r>
    </w:p>
    <w:p>
      <w:pPr>
        <w:pStyle w:val="Heading1"/>
        <w:widowControl/>
      </w:pPr>
      <w:r>
        <w:t>附录A　变量、复现与主张等级</w:t>
      </w:r>
    </w:p>
    <w:p>
      <w:pPr>
        <w:widowControl/>
      </w:pPr>
      <w:r>
        <w:rPr>
          <w:rFonts w:ascii="Times New Roman" w:hAnsi="Times New Roman" w:eastAsia="Noto Serif SC"/>
          <w:sz w:val="22"/>
        </w:rPr>
        <w:t>A1. 研究单元：305篇有辞诗参与语义和网络计算；6篇无辞笙诗仅作为缺失节点保留。A2. 随机性：主流程种子固定为20260817；各软件随机流分别记录。A3. 主张等级：结构发现、方向性历史解释、局部比较解释与待验证模型分开报告。A4. 不允许的推断：不得由聚类直接推出作者、年代或事件；不得由卦义可读性推出生成关系；不得将理论ODE/PDE写成实证物理定律。</w:t>
      </w:r>
    </w:p>
    <w:p>
      <w:pPr>
        <w:pStyle w:val="Heading1"/>
        <w:widowControl/>
      </w:pPr>
      <w:r>
        <w:t>参考文献</w:t>
      </w:r>
    </w:p>
    <w:p>
      <w:pPr>
        <w:pStyle w:val="Reference"/>
        <w:widowControl/>
        <w:ind w:firstLine="0"/>
      </w:pPr>
      <w:r>
        <w:rPr>
          <w:rFonts w:ascii="Times New Roman" w:hAnsi="Times New Roman" w:eastAsia="Noto Serif SC"/>
          <w:sz w:val="22"/>
        </w:rPr>
        <w:t>[1] 毛亨传，郑玄笺，孔颖达疏：《毛诗正义》，北京：北京大学出版社，1999。</w:t>
      </w:r>
    </w:p>
    <w:p>
      <w:pPr>
        <w:pStyle w:val="Reference"/>
        <w:widowControl/>
        <w:ind w:firstLine="0"/>
      </w:pPr>
      <w:r>
        <w:rPr>
          <w:rFonts w:ascii="Times New Roman" w:hAnsi="Times New Roman" w:eastAsia="Noto Serif SC"/>
          <w:sz w:val="22"/>
        </w:rPr>
        <w:t>[2] 朱熹：《诗集传》，北京：中华书局，2011。</w:t>
      </w:r>
    </w:p>
    <w:p>
      <w:pPr>
        <w:pStyle w:val="Reference"/>
        <w:widowControl/>
        <w:ind w:firstLine="0"/>
      </w:pPr>
      <w:r>
        <w:rPr>
          <w:rFonts w:ascii="Times New Roman" w:hAnsi="Times New Roman" w:eastAsia="Noto Serif SC"/>
          <w:sz w:val="22"/>
        </w:rPr>
        <w:t>[3] 程俊英、蒋见元：《诗经注析》，北京：中华书局，1991。</w:t>
      </w:r>
    </w:p>
    <w:p>
      <w:pPr>
        <w:pStyle w:val="Reference"/>
        <w:widowControl/>
        <w:ind w:firstLine="0"/>
      </w:pPr>
      <w:r>
        <w:rPr>
          <w:rFonts w:ascii="Times New Roman" w:hAnsi="Times New Roman" w:eastAsia="Noto Serif SC"/>
          <w:sz w:val="22"/>
        </w:rPr>
        <w:t>[4] 李山：《诗经析读》，北京：南海出版公司，2003。</w:t>
      </w:r>
    </w:p>
    <w:p>
      <w:pPr>
        <w:pStyle w:val="Reference"/>
        <w:widowControl/>
        <w:ind w:firstLine="0"/>
      </w:pPr>
      <w:r>
        <w:rPr>
          <w:rFonts w:ascii="Times New Roman" w:hAnsi="Times New Roman" w:eastAsia="Noto Serif SC"/>
          <w:sz w:val="22"/>
        </w:rPr>
        <w:t>[5] 李学勤主编：《清华大学藏战国竹简（壹）》，上海：中西书局，2010。</w:t>
      </w:r>
    </w:p>
    <w:p>
      <w:pPr>
        <w:pStyle w:val="Reference"/>
        <w:widowControl/>
        <w:ind w:firstLine="0"/>
      </w:pPr>
      <w:r>
        <w:rPr>
          <w:rFonts w:ascii="Times New Roman" w:hAnsi="Times New Roman" w:eastAsia="Noto Serif SC"/>
          <w:sz w:val="22"/>
        </w:rPr>
        <w:t>[6] 陈梦家：《西周铜器断代》，北京：中华书局，2004。</w:t>
      </w:r>
    </w:p>
    <w:p>
      <w:pPr>
        <w:pStyle w:val="Reference"/>
        <w:widowControl/>
        <w:ind w:firstLine="0"/>
      </w:pPr>
      <w:r>
        <w:rPr>
          <w:rFonts w:ascii="Times New Roman" w:hAnsi="Times New Roman" w:eastAsia="Noto Serif SC"/>
          <w:sz w:val="22"/>
        </w:rPr>
        <w:t>[7] 李峰：《西周的灭亡：中国早期国家的地理和政治危机》，徐峰译，上海：上海古籍出版社，2007。</w:t>
      </w:r>
    </w:p>
    <w:p>
      <w:pPr>
        <w:pStyle w:val="Reference"/>
        <w:widowControl/>
        <w:ind w:firstLine="0"/>
      </w:pPr>
      <w:r>
        <w:rPr>
          <w:rFonts w:ascii="Times New Roman" w:hAnsi="Times New Roman" w:eastAsia="Noto Serif SC"/>
          <w:sz w:val="22"/>
        </w:rPr>
        <w:t>[8] Kern, Martin. “Shi jing Songs as Performative Text: A Case Study of ‘Chu ci’ (Thorny Caltrop).” Early China, 1997, 22: 49–111.</w:t>
      </w:r>
    </w:p>
    <w:p>
      <w:pPr>
        <w:pStyle w:val="Reference"/>
        <w:widowControl/>
        <w:ind w:firstLine="0"/>
      </w:pPr>
      <w:r>
        <w:rPr>
          <w:rFonts w:ascii="Times New Roman" w:hAnsi="Times New Roman" w:eastAsia="Noto Serif SC"/>
          <w:sz w:val="22"/>
        </w:rPr>
        <w:t>[9] Kern, Martin, ed. Text and Ritual in Early China. Seattle: University of Washington Press, 2005.</w:t>
      </w:r>
    </w:p>
    <w:p>
      <w:pPr>
        <w:pStyle w:val="Reference"/>
        <w:widowControl/>
        <w:ind w:firstLine="0"/>
      </w:pPr>
      <w:r>
        <w:rPr>
          <w:rFonts w:ascii="Times New Roman" w:hAnsi="Times New Roman" w:eastAsia="Noto Serif SC"/>
          <w:sz w:val="22"/>
        </w:rPr>
        <w:t>[10] Shaughnessy, Edward L. Before Confucius: Studies in the Creation of the Chinese Classics. Albany: State University of New York Press, 1997.</w:t>
      </w:r>
    </w:p>
    <w:p>
      <w:pPr>
        <w:pStyle w:val="Reference"/>
        <w:widowControl/>
        <w:ind w:firstLine="0"/>
      </w:pPr>
      <w:r>
        <w:rPr>
          <w:rFonts w:ascii="Times New Roman" w:hAnsi="Times New Roman" w:eastAsia="Noto Serif SC"/>
          <w:sz w:val="22"/>
        </w:rPr>
        <w:t>[11] Falkenhausen, Lothar von. Chinese Society in the Age of Confucius (1000–250 BC): The Archaeological Evidence. Los Angeles: Cotsen Institute of Archaeology, UCLA, 2006.</w:t>
      </w:r>
    </w:p>
    <w:p>
      <w:pPr>
        <w:pStyle w:val="Reference"/>
        <w:widowControl/>
        <w:ind w:firstLine="0"/>
      </w:pPr>
      <w:r>
        <w:rPr>
          <w:rFonts w:ascii="Times New Roman" w:hAnsi="Times New Roman" w:eastAsia="Noto Serif SC"/>
          <w:sz w:val="22"/>
        </w:rPr>
        <w:t>[12] Li, Feng. Landscape and Power in Early China: The Crisis and Fall of the Western Zhou, 1045–771 BC. Cambridge: Cambridge University Press, 2006.</w:t>
      </w:r>
    </w:p>
    <w:p>
      <w:pPr>
        <w:pStyle w:val="Reference"/>
        <w:widowControl/>
        <w:ind w:firstLine="0"/>
      </w:pPr>
      <w:r>
        <w:rPr>
          <w:rFonts w:ascii="Times New Roman" w:hAnsi="Times New Roman" w:eastAsia="Noto Serif SC"/>
          <w:sz w:val="22"/>
        </w:rPr>
        <w:t>[13] Shaughnessy, Edward L. Unearthing the Changes: Recently Discovered Manuscripts of the Yi Jing (I Ching) and Related Texts. New York: Columbia University Press, 2014.</w:t>
      </w:r>
    </w:p>
    <w:p>
      <w:pPr>
        <w:pStyle w:val="Reference"/>
        <w:widowControl/>
        <w:ind w:firstLine="0"/>
      </w:pPr>
      <w:r>
        <w:rPr>
          <w:rFonts w:ascii="Times New Roman" w:hAnsi="Times New Roman" w:eastAsia="Noto Serif SC"/>
          <w:sz w:val="22"/>
        </w:rPr>
        <w:t>[14] Blondel, Vincent D., et al. “Fast Unfolding of Communities in Large Networks.” Journal of Statistical Mechanics: Theory and Experiment, 2008, P10008.</w:t>
      </w:r>
    </w:p>
    <w:p>
      <w:pPr>
        <w:pStyle w:val="Reference"/>
        <w:widowControl/>
        <w:ind w:firstLine="0"/>
      </w:pPr>
      <w:r>
        <w:rPr>
          <w:rFonts w:ascii="Times New Roman" w:hAnsi="Times New Roman" w:eastAsia="Noto Serif SC"/>
          <w:sz w:val="22"/>
        </w:rPr>
        <w:t>[15] Fortunato, Santo. “Community Detection in Graphs.” Physics Reports, 2010, 486(3–5): 75–174.</w:t>
      </w:r>
    </w:p>
    <w:p>
      <w:pPr>
        <w:pStyle w:val="Reference"/>
        <w:widowControl/>
        <w:ind w:firstLine="0"/>
      </w:pPr>
      <w:r>
        <w:rPr>
          <w:rFonts w:ascii="Times New Roman" w:hAnsi="Times New Roman" w:eastAsia="Noto Serif SC"/>
          <w:sz w:val="22"/>
        </w:rPr>
        <w:t>[16] Newman, M. E. J. Networks. 2nd ed. Oxford: Oxford University Press, 2018.</w:t>
      </w:r>
    </w:p>
    <w:p>
      <w:pPr>
        <w:pStyle w:val="Reference"/>
        <w:widowControl/>
        <w:ind w:firstLine="0"/>
      </w:pPr>
      <w:r>
        <w:rPr>
          <w:rFonts w:ascii="Times New Roman" w:hAnsi="Times New Roman" w:eastAsia="Noto Serif SC"/>
          <w:sz w:val="22"/>
        </w:rPr>
        <w:t>[17] Pearl, Judea. Causality: Models, Reasoning, and Inference. 2nd ed. Cambridge: Cambridge University Press, 2009.</w:t>
      </w:r>
    </w:p>
    <w:p>
      <w:pPr>
        <w:pStyle w:val="Reference"/>
        <w:widowControl/>
        <w:ind w:firstLine="0"/>
      </w:pPr>
      <w:r>
        <w:rPr>
          <w:rFonts w:ascii="Times New Roman" w:hAnsi="Times New Roman" w:eastAsia="Noto Serif SC"/>
          <w:sz w:val="22"/>
        </w:rPr>
        <w:t>[18] 文颜：《〈诗经〉305篇SDA独立发现报告v1.0》，SDA ScholarOS内部研究资料，2026。</w:t>
      </w:r>
    </w:p>
    <w:p>
      <w:pPr>
        <w:pStyle w:val="Reference"/>
        <w:widowControl/>
        <w:ind w:firstLine="0"/>
      </w:pPr>
      <w:r>
        <w:rPr>
          <w:rFonts w:ascii="Times New Roman" w:hAnsi="Times New Roman" w:eastAsia="Noto Serif SC"/>
          <w:sz w:val="22"/>
        </w:rPr>
        <w:t>[19] 文颜：《诗经周易完整八轴盲测研究结论v1.0》，SDA ScholarOS内部研究资料，2026。</w:t>
      </w:r>
    </w:p>
    <w:p>
      <w:pPr>
        <w:pStyle w:val="Reference"/>
        <w:widowControl/>
        <w:ind w:firstLine="0"/>
      </w:pPr>
      <w:r>
        <w:rPr>
          <w:rFonts w:ascii="Times New Roman" w:hAnsi="Times New Roman" w:eastAsia="Noto Serif SC"/>
          <w:sz w:val="22"/>
        </w:rPr>
        <w:t>[20] 文颜：《诗易结构史反自证与史实外部验证协议v1.0》，SDA ScholarOS内部研究资料，2026。</w:t>
      </w:r>
    </w:p>
    <w:sectPr w:rsidR="00FC693F" w:rsidRPr="0006063C" w:rsidSect="00034616">
      <w:headerReference w:type="default" r:id="rId9"/>
      <w:footerReference w:type="default" r:id="rId10"/>
      <w:pgSz w:w="12240" w:h="15840"/>
      <w:pgMar w:top="1296" w:right="1440" w:bottom="1224" w:left="1440" w:header="648" w:footer="64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Noto Serif SC"/>
        <w:color w:val="646464"/>
        <w:sz w:val="17"/>
      </w:rPr>
      <w:t xml:space="preserve">文颜｜Vinson Technology SDA ScholarOS Research Center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
      <w:rPr>
        <w:rFonts w:ascii="Times New Roman" w:hAnsi="Times New Roman" w:eastAsia="Noto Serif SC"/>
        <w:color w:val="5A5A5A"/>
        <w:sz w:val="17"/>
      </w:rPr>
      <w:t>《诗经》结构历史学研究｜新论文 v1.0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19" w:lineRule="auto" w:after="140"/>
      <w:ind w:firstLine="440"/>
      <w:jc w:val="both"/>
    </w:pPr>
    <w:rPr>
      <w:rFonts w:ascii="Times New Roman" w:hAnsi="Times New Roman" w:eastAsia="Noto Serif SC"/>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80"/>
      <w:outlineLvl w:val="0"/>
    </w:pPr>
    <w:rPr>
      <w:rFonts w:asciiTheme="majorHAnsi" w:eastAsiaTheme="majorEastAsia" w:hAnsiTheme="majorHAnsi" w:cstheme="majorBidi" w:ascii="Times New Roman" w:hAnsi="Times New Roman" w:eastAsia="Noto Sans CJK SC"/>
      <w:b/>
      <w:bCs/>
      <w:color w:val="1F4E79"/>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Times New Roman" w:hAnsi="Times New Roman" w:eastAsia="Noto Sans CJK SC"/>
      <w:b/>
      <w:bCs/>
      <w:color w:val="1F4E79"/>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Times New Roman" w:hAnsi="Times New Roman" w:eastAsia="Noto Sans CJK SC"/>
      <w:b/>
      <w:bCs/>
      <w:color w:val="1F4E79"/>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before="120" w:after="80"/>
      <w:ind w:firstLine="0"/>
      <w:jc w:val="center"/>
    </w:pPr>
    <w:rPr>
      <w:rFonts w:eastAsia="Noto Serif SC"/>
      <w:b/>
      <w:bCs/>
      <w:color w:val="4F81BD" w:themeColor="accent1"/>
      <w:sz w:val="19"/>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bstract">
    <w:name w:val="Abstract"/>
    <w:pPr>
      <w:spacing w:line="300" w:lineRule="auto" w:after="100"/>
      <w:ind w:firstLine="420"/>
    </w:pPr>
    <w:rPr>
      <w:rFonts w:eastAsia="Noto Serif SC"/>
      <w:sz w:val="21"/>
    </w:rPr>
  </w:style>
  <w:style w:type="paragraph" w:customStyle="1" w:styleId="Keywords">
    <w:name w:val="Keywords"/>
    <w:pPr>
      <w:spacing w:after="120"/>
    </w:pPr>
    <w:rPr>
      <w:rFonts w:eastAsia="Noto Serif SC"/>
      <w:sz w:val="21"/>
    </w:rPr>
  </w:style>
  <w:style w:type="paragraph" w:customStyle="1" w:styleId="Equation">
    <w:name w:val="Equation"/>
    <w:pPr>
      <w:spacing w:before="80" w:after="120"/>
      <w:ind w:firstLine="0"/>
      <w:jc w:val="center"/>
    </w:pPr>
    <w:rPr>
      <w:rFonts w:ascii="Cambria Math" w:hAnsi="Cambria Math" w:eastAsia="Noto Serif SC"/>
      <w:sz w:val="21"/>
    </w:rPr>
  </w:style>
  <w:style w:type="paragraph" w:customStyle="1" w:styleId="Reference">
    <w:name w:val="Reference"/>
    <w:pPr>
      <w:spacing w:line="276" w:lineRule="auto" w:after="60"/>
      <w:ind w:hanging="360" w:left="360"/>
    </w:pPr>
    <w:rPr>
      <w:rFonts w:eastAsia="Noto Serif SC"/>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超越“风雅颂”：〈诗经〉社会状态网络的结构发现、历史解释与〈周易〉比较性语法</dc:title>
  <dc:subject>《诗经》社会状态网络、历史解释与《周易》比较性语法</dc:subject>
  <dc:creator>文颜</dc:creator>
  <cp:keywords>诗经; 周易; SDA; 结构历史学; 社会状态网络; 危机恢复</cp:keywords>
  <dc:description>Research manuscript v1.0, 2026-08-31</dc:description>
  <cp:lastModifiedBy/>
  <cp:revision>1</cp:revision>
  <dcterms:created xsi:type="dcterms:W3CDTF">2013-12-23T23:15:00Z</dcterms:created>
  <dcterms:modified xsi:type="dcterms:W3CDTF">2013-12-23T23:15:00Z</dcterms:modified>
  <cp:category/>
</cp:coreProperties>
</file>